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F4627C" w:rsidRDefault="00357DD7" w:rsidP="0095065F">
      <w:pPr>
        <w:spacing w:before="0" w:after="0"/>
        <w:rPr>
          <w:color w:val="003300"/>
          <w:sz w:val="20"/>
        </w:rPr>
      </w:pPr>
    </w:p>
    <w:p w:rsidR="006203D3" w:rsidRPr="00F4627C" w:rsidRDefault="006203D3" w:rsidP="0095065F">
      <w:pPr>
        <w:spacing w:before="0" w:after="0"/>
        <w:rPr>
          <w:color w:val="003300"/>
          <w:sz w:val="20"/>
        </w:rPr>
      </w:pPr>
    </w:p>
    <w:p w:rsidR="00FE3D69" w:rsidRPr="00F4627C" w:rsidRDefault="00D80152" w:rsidP="00FE3D69">
      <w:pPr>
        <w:spacing w:before="100" w:beforeAutospacing="1" w:after="0"/>
        <w:jc w:val="center"/>
        <w:rPr>
          <w:rFonts w:eastAsia="Times New Roman" w:cs="Times New Roman"/>
          <w:bCs/>
          <w:color w:val="003300"/>
          <w:szCs w:val="22"/>
          <w:lang w:eastAsia="sk-SK"/>
        </w:rPr>
      </w:pPr>
      <w:r w:rsidRPr="00F4627C">
        <w:rPr>
          <w:rFonts w:eastAsia="Times New Roman" w:cs="Times New Roman"/>
          <w:bCs/>
          <w:color w:val="003300"/>
          <w:szCs w:val="22"/>
          <w:lang w:eastAsia="sk-SK"/>
        </w:rPr>
        <w:t>European Local Energy Assistance</w:t>
      </w:r>
    </w:p>
    <w:p w:rsidR="00D80152" w:rsidRPr="00F4627C" w:rsidRDefault="00D80152" w:rsidP="00FE3D69">
      <w:pPr>
        <w:spacing w:before="100" w:beforeAutospacing="1" w:after="0"/>
        <w:jc w:val="center"/>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(ELENA – Európska miestna energetická pomoc)</w:t>
      </w:r>
    </w:p>
    <w:p w:rsidR="00D80152" w:rsidRPr="00F4627C" w:rsidRDefault="00D80152" w:rsidP="008D0176">
      <w:pPr>
        <w:spacing w:before="100" w:beforeAutospacing="1"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Európska únia prostredníctvom viacerých mechanizmov, programov a fondov podporuje miestnych a regionálnych aktérov (obce, mestá, mikroregióny, VÚC) v snahe dosiahnuť energetickú bezpečnosť únie ako celku a jednotlivých miestnych aktérov samostatne, znížiť množstvo skleníkových plynov, znížiť energetickú náročnosť verejných a súkromných budov a tiež zvýšiť podiel obnoviteľných zdrojov na výrobe elektrickej energie, tepla a chladu. Hlavným cieľom je prispieť k naplneniu stratégie EÚ do roku 2020 - „20-20-20“. V ostatných dvoch rokoch preto spustila viacero podporných programov. Ich cieľom je posilniť (najmä finančne a technicky) jednotlivých aktérov – obcí, miest a regiónov – za účelom dosiahnutia vyššie vedeného zámeru. Tento trend bude pokračovať aj v novom programovacom období EÚ v rokoch 2014-2020, pričom význam obcí, miest a regiónov pri dosahovaní cieľov bude narastať.</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Komunikácia s fondom je v anglickom alebo francúzskom jazyku. Predkladá sa stručná žiadosť, čestné vyhlásenie.</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Oprávnené výdavky</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numPr>
          <w:ilvl w:val="0"/>
          <w:numId w:val="1"/>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výdavky na technickú podporu, teda potrebnú pomoc v úvodnej fáze prípravy, implementácie a financovania investičného projektu, napr. štúdie uskutočniteľnosti, marketingové štúdie, podnikateľské plány, energetické audity, náklady na verejné obstarávanie, právna pomoc, príprava projektového tímu.</w:t>
      </w:r>
    </w:p>
    <w:p w:rsidR="00D80152" w:rsidRPr="00F4627C" w:rsidRDefault="00D80152" w:rsidP="008D0176">
      <w:pPr>
        <w:numPr>
          <w:ilvl w:val="0"/>
          <w:numId w:val="1"/>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Oprávnené výdavky môžu byť vrátane DPH, pokiaľ žiadateľ nie je platca DPH</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Výška dotácie:</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do 90 % oprávnených výdavkov technickej pomoci</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Oprávnené projekty:</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podporené budú projekty v nasledujúcich oblastiach:</w:t>
      </w:r>
    </w:p>
    <w:p w:rsidR="00D80152" w:rsidRPr="00F4627C" w:rsidRDefault="00D80152" w:rsidP="008D0176">
      <w:pPr>
        <w:numPr>
          <w:ilvl w:val="0"/>
          <w:numId w:val="2"/>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verejné a súkromné budovy, vrátane sociálneho ubytovania, pouličné a dopravné osvetlenie, zvýšenie energetickej účinnosti – napr. zateplovanie budov zamerané na výrazné zníženie energetickej spotreby (aj teplo aj elektrina) ako je tepelná izolácia, efektívna klimatizácia, ventilácia, úsporné osvetlenie</w:t>
      </w:r>
    </w:p>
    <w:p w:rsidR="00D80152" w:rsidRPr="00F4627C" w:rsidRDefault="00D80152" w:rsidP="008D0176">
      <w:pPr>
        <w:numPr>
          <w:ilvl w:val="0"/>
          <w:numId w:val="2"/>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začlenenie obnoviteľných zdrojov energie do zastavaných území, napr. fotovoltiky, solárnej energie, biomasy a pod.</w:t>
      </w:r>
    </w:p>
    <w:p w:rsidR="00D80152" w:rsidRPr="00F4627C" w:rsidRDefault="00D80152" w:rsidP="008D0176">
      <w:pPr>
        <w:numPr>
          <w:ilvl w:val="0"/>
          <w:numId w:val="2"/>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investície do obnovy, rozšírenia a budovania nových rozvodov tepla/chladu, vrátane sietí založených na kombinovanej výrobe tepla a chladu, decentralizovaných systémoch výroby tepla a chladu (priamo v budovách alebo vedľa budov)</w:t>
      </w:r>
    </w:p>
    <w:p w:rsidR="00F4627C" w:rsidRDefault="00F4627C" w:rsidP="00F4627C">
      <w:pPr>
        <w:spacing w:before="28" w:after="0"/>
        <w:ind w:left="720"/>
        <w:jc w:val="both"/>
        <w:rPr>
          <w:rFonts w:eastAsia="Times New Roman" w:cs="Times New Roman"/>
          <w:b w:val="0"/>
          <w:color w:val="003300"/>
          <w:szCs w:val="22"/>
          <w:lang w:eastAsia="sk-SK"/>
        </w:rPr>
      </w:pPr>
    </w:p>
    <w:p w:rsidR="00F4627C" w:rsidRDefault="00F4627C" w:rsidP="00F4627C">
      <w:pPr>
        <w:spacing w:before="28" w:after="0"/>
        <w:ind w:left="720"/>
        <w:jc w:val="both"/>
        <w:rPr>
          <w:rFonts w:ascii="Times New Roman" w:eastAsia="Times New Roman" w:hAnsi="Times New Roman" w:cs="Times New Roman"/>
          <w:b w:val="0"/>
          <w:color w:val="003300"/>
          <w:sz w:val="24"/>
          <w:szCs w:val="24"/>
          <w:lang w:eastAsia="sk-SK"/>
        </w:rPr>
      </w:pPr>
    </w:p>
    <w:p w:rsidR="00F4627C" w:rsidRPr="00F4627C" w:rsidRDefault="00F4627C" w:rsidP="00F4627C">
      <w:pPr>
        <w:spacing w:before="28" w:after="0"/>
        <w:ind w:left="720"/>
        <w:jc w:val="both"/>
        <w:rPr>
          <w:rFonts w:ascii="Times New Roman" w:eastAsia="Times New Roman" w:hAnsi="Times New Roman" w:cs="Times New Roman"/>
          <w:b w:val="0"/>
          <w:color w:val="003300"/>
          <w:sz w:val="24"/>
          <w:szCs w:val="24"/>
          <w:lang w:eastAsia="sk-SK"/>
        </w:rPr>
      </w:pPr>
    </w:p>
    <w:p w:rsidR="00D80152" w:rsidRPr="00F4627C" w:rsidRDefault="00D80152" w:rsidP="008D0176">
      <w:pPr>
        <w:numPr>
          <w:ilvl w:val="0"/>
          <w:numId w:val="2"/>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mestská doprava na podporu zvýšenia energetickej efektívnosti a integrácie obnoviteľných zdrojov, napr. vysoko efektívne autobusy, vrátane hybridných autobusov, investície na uvedenie nových, energeticky efektívnejších konceptov na zlepšenie prevozu tovarov (logistiky) v mestských oblastiach</w:t>
      </w:r>
    </w:p>
    <w:p w:rsidR="00D80152" w:rsidRPr="00F4627C" w:rsidRDefault="00D80152" w:rsidP="008D0176">
      <w:pPr>
        <w:numPr>
          <w:ilvl w:val="0"/>
          <w:numId w:val="2"/>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lokálna infraštruktúra vrátane tzv. inteligentných rozvodov (smart grids), IKT infraštruktúry pre energetickú efektívnosť, energeticky efektívne mestské vybavenie, inter-modálne nástroje prepravy (kombinovaná preprava) a prechod na alternatívne palivá vo vozidlách</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Minimálna výška projektu:</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Cieľom ELENA je zvýšiť skúsenosti s rozvojom investičných programov určitej veľkosti, štandardne nad 50 mil. EUR. Menšie projekty môžu byť podporené, ak sú integrované do väčších investičných programov. Kombinovanie malých projektov do väčších programov umožňuje znížiť výdavky na prípravu a zlepšuje „úverovateľnosť“ jednotlivých projektov, čo je jedným z výberových kritérií ELENA.</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Oprávnený prijímateľ:</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numPr>
          <w:ilvl w:val="0"/>
          <w:numId w:val="3"/>
        </w:num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miestne a regionálne samosprávy alebo iné orgány verejnej správy alebo zoskupenia týchto orgánov z členských štátov EÚ, Nórska, Islandu, Lichtenšteinska, Chorvátka a Macedónska. ELENA podporuje implementáciu záväzkov obcí vyplývajúcich z Dohovoru primátorov a starostov, ale nie je výlučne pre signatárov tohto dohovoru.</w:t>
      </w:r>
    </w:p>
    <w:p w:rsidR="00D80152" w:rsidRPr="00F4627C" w:rsidRDefault="00D80152" w:rsidP="008D0176">
      <w:pPr>
        <w:spacing w:before="28" w:after="0"/>
        <w:ind w:left="720"/>
        <w:jc w:val="both"/>
        <w:rPr>
          <w:rFonts w:eastAsia="Times New Roman" w:cs="Times New Roman"/>
          <w:b w:val="0"/>
          <w:color w:val="003300"/>
          <w:szCs w:val="22"/>
          <w:lang w:eastAsia="sk-SK"/>
        </w:rPr>
      </w:pPr>
    </w:p>
    <w:p w:rsidR="00D80152" w:rsidRPr="00F4627C" w:rsidRDefault="00D80152" w:rsidP="008D0176">
      <w:pPr>
        <w:spacing w:before="28" w:after="0"/>
        <w:ind w:left="72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Cs/>
          <w:color w:val="003300"/>
          <w:szCs w:val="22"/>
          <w:lang w:eastAsia="sk-SK"/>
        </w:rPr>
        <w:t>Dĺžka trvania pomoci:</w:t>
      </w: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p>
    <w:p w:rsidR="00D80152" w:rsidRPr="00F4627C" w:rsidRDefault="00D80152" w:rsidP="008D0176">
      <w:pPr>
        <w:spacing w:before="28" w:after="0"/>
        <w:jc w:val="both"/>
        <w:rPr>
          <w:rFonts w:ascii="Times New Roman" w:eastAsia="Times New Roman" w:hAnsi="Times New Roman" w:cs="Times New Roman"/>
          <w:b w:val="0"/>
          <w:color w:val="003300"/>
          <w:sz w:val="24"/>
          <w:szCs w:val="24"/>
          <w:lang w:eastAsia="sk-SK"/>
        </w:rPr>
      </w:pPr>
      <w:r w:rsidRPr="00F4627C">
        <w:rPr>
          <w:rFonts w:eastAsia="Times New Roman" w:cs="Times New Roman"/>
          <w:b w:val="0"/>
          <w:color w:val="003300"/>
          <w:szCs w:val="22"/>
          <w:lang w:eastAsia="sk-SK"/>
        </w:rPr>
        <w:t>max. 3 roky</w:t>
      </w:r>
    </w:p>
    <w:p w:rsidR="0095065F" w:rsidRPr="00F4627C" w:rsidRDefault="0095065F" w:rsidP="008D0176">
      <w:pPr>
        <w:spacing w:before="0" w:after="0"/>
        <w:jc w:val="both"/>
        <w:rPr>
          <w:color w:val="003300"/>
          <w:sz w:val="20"/>
        </w:rPr>
      </w:pPr>
    </w:p>
    <w:p w:rsidR="0095065F" w:rsidRPr="00F4627C" w:rsidRDefault="0095065F" w:rsidP="008D0176">
      <w:pPr>
        <w:spacing w:before="0" w:after="0"/>
        <w:jc w:val="both"/>
        <w:rPr>
          <w:color w:val="003300"/>
          <w:sz w:val="20"/>
        </w:rPr>
      </w:pPr>
    </w:p>
    <w:p w:rsidR="00150353" w:rsidRPr="00F4627C" w:rsidRDefault="00E169A8" w:rsidP="008D0176">
      <w:pPr>
        <w:spacing w:before="0" w:after="0" w:line="276" w:lineRule="auto"/>
        <w:jc w:val="both"/>
        <w:rPr>
          <w:rStyle w:val="Hypertextovprepojenie"/>
          <w:color w:val="003300"/>
          <w:sz w:val="16"/>
          <w:szCs w:val="16"/>
        </w:rPr>
      </w:pPr>
      <w:r w:rsidRPr="00F4627C">
        <w:rPr>
          <w:color w:val="003300"/>
          <w:sz w:val="16"/>
          <w:szCs w:val="16"/>
        </w:rPr>
        <w:t xml:space="preserve">verejne sprístupnené dielo MEDIA COELI </w:t>
      </w:r>
      <w:r w:rsidRPr="00F4627C">
        <w:rPr>
          <w:color w:val="003300"/>
          <w:sz w:val="16"/>
          <w:szCs w:val="16"/>
          <w:vertAlign w:val="superscript"/>
        </w:rPr>
        <w:t>®</w:t>
      </w:r>
      <w:r w:rsidRPr="00F4627C">
        <w:rPr>
          <w:color w:val="003300"/>
          <w:sz w:val="16"/>
          <w:szCs w:val="16"/>
        </w:rPr>
        <w:t xml:space="preserve"> podmienky: </w:t>
      </w:r>
      <w:hyperlink r:id="rId10" w:history="1">
        <w:r w:rsidR="00AE59CA" w:rsidRPr="00F4627C">
          <w:rPr>
            <w:rStyle w:val="Hypertextovprepojenie"/>
            <w:color w:val="003300"/>
            <w:sz w:val="16"/>
            <w:szCs w:val="16"/>
          </w:rPr>
          <w:t>www.mediacoeli.sk</w:t>
        </w:r>
      </w:hyperlink>
    </w:p>
    <w:p w:rsidR="001F4AB6" w:rsidRPr="00F4627C" w:rsidRDefault="001F4AB6" w:rsidP="008D0176">
      <w:pPr>
        <w:spacing w:before="0" w:after="0" w:line="276" w:lineRule="auto"/>
        <w:jc w:val="both"/>
        <w:rPr>
          <w:color w:val="003300"/>
          <w:sz w:val="16"/>
          <w:szCs w:val="16"/>
        </w:rPr>
      </w:pPr>
    </w:p>
    <w:p w:rsidR="006773FB" w:rsidRPr="00F4627C" w:rsidRDefault="006773FB" w:rsidP="008D0176">
      <w:pPr>
        <w:spacing w:before="0" w:after="0" w:line="276" w:lineRule="auto"/>
        <w:jc w:val="both"/>
        <w:rPr>
          <w:color w:val="003300"/>
          <w:sz w:val="16"/>
          <w:szCs w:val="16"/>
        </w:rPr>
      </w:pPr>
    </w:p>
    <w:p w:rsidR="008D0176" w:rsidRPr="00F4627C" w:rsidRDefault="006773FB" w:rsidP="008D0176">
      <w:pPr>
        <w:spacing w:before="0" w:after="0" w:line="276" w:lineRule="auto"/>
        <w:jc w:val="both"/>
        <w:rPr>
          <w:bCs/>
          <w:color w:val="003300"/>
          <w:sz w:val="20"/>
        </w:rPr>
      </w:pPr>
      <w:r w:rsidRPr="00F4627C">
        <w:rPr>
          <w:bCs/>
          <w:color w:val="003300"/>
          <w:sz w:val="20"/>
        </w:rPr>
        <w:t>Komerčnú verziu, ktorá obsahuje naviac dôležité informácie o systéme fungovania nástroja, systéme vyplácania podpory, podmienkach získania podpory - nadstavbou je konzultácia pre konkrétny projekt a konkrétneho žiadateľa (overenie podpory a podmienok) si môžete zakúpiť v našom e-obchode:</w:t>
      </w:r>
    </w:p>
    <w:p w:rsidR="006773FB" w:rsidRPr="00577606" w:rsidRDefault="006773FB" w:rsidP="00F4627C">
      <w:pPr>
        <w:spacing w:before="0" w:after="0" w:line="276" w:lineRule="auto"/>
        <w:jc w:val="both"/>
        <w:rPr>
          <w:bCs/>
          <w:color w:val="002060"/>
          <w:sz w:val="20"/>
        </w:rPr>
      </w:pPr>
      <w:r w:rsidRPr="00577606">
        <w:rPr>
          <w:bCs/>
          <w:color w:val="002060"/>
          <w:sz w:val="20"/>
        </w:rPr>
        <w:t xml:space="preserve"> </w:t>
      </w:r>
      <w:hyperlink r:id="rId11" w:history="1">
        <w:r w:rsidRPr="00577606">
          <w:rPr>
            <w:rStyle w:val="Hypertextovprepojenie"/>
            <w:bCs/>
            <w:color w:val="002060"/>
            <w:sz w:val="20"/>
          </w:rPr>
          <w:t>http://www.mediacoeli.sk/index.php?detailshop=1&amp;cislo=</w:t>
        </w:r>
        <w:r w:rsidRPr="00577606">
          <w:rPr>
            <w:rStyle w:val="Hypertextovprepojenie"/>
            <w:bCs/>
            <w:color w:val="002060"/>
            <w:sz w:val="20"/>
          </w:rPr>
          <w:t>2</w:t>
        </w:r>
        <w:r w:rsidRPr="00577606">
          <w:rPr>
            <w:rStyle w:val="Hypertextovprepojenie"/>
            <w:bCs/>
            <w:color w:val="002060"/>
            <w:sz w:val="20"/>
          </w:rPr>
          <w:t>2&amp;i</w:t>
        </w:r>
        <w:r w:rsidRPr="00577606">
          <w:rPr>
            <w:rStyle w:val="Hypertextovprepojenie"/>
            <w:bCs/>
            <w:color w:val="002060"/>
            <w:sz w:val="20"/>
          </w:rPr>
          <w:t>m</w:t>
        </w:r>
        <w:r w:rsidRPr="00577606">
          <w:rPr>
            <w:rStyle w:val="Hypertextovprepojenie"/>
            <w:bCs/>
            <w:color w:val="002060"/>
            <w:sz w:val="20"/>
          </w:rPr>
          <w:t>g</w:t>
        </w:r>
      </w:hyperlink>
    </w:p>
    <w:p w:rsidR="006773FB" w:rsidRPr="00F4627C" w:rsidRDefault="006773FB" w:rsidP="001F4AB6">
      <w:pPr>
        <w:spacing w:before="0" w:after="0" w:line="276" w:lineRule="auto"/>
        <w:rPr>
          <w:color w:val="003300"/>
          <w:sz w:val="16"/>
          <w:szCs w:val="16"/>
        </w:rPr>
      </w:pPr>
    </w:p>
    <w:p w:rsidR="006773FB" w:rsidRPr="00F4627C" w:rsidRDefault="006773FB" w:rsidP="001F4AB6">
      <w:pPr>
        <w:spacing w:before="0" w:after="0" w:line="276" w:lineRule="auto"/>
        <w:rPr>
          <w:color w:val="003300"/>
          <w:sz w:val="16"/>
          <w:szCs w:val="16"/>
        </w:rPr>
      </w:pPr>
    </w:p>
    <w:sdt>
      <w:sdtPr>
        <w:rPr>
          <w:color w:val="003300"/>
          <w:sz w:val="16"/>
          <w:szCs w:val="16"/>
        </w:rPr>
        <w:id w:val="1950342598"/>
        <w:placeholder>
          <w:docPart w:val="DefaultPlaceholder_1082065158"/>
        </w:placeholder>
      </w:sdtPr>
      <w:sdtEndPr/>
      <w:sdtContent>
        <w:bookmarkStart w:id="0" w:name="_GoBack" w:displacedByCustomXml="prev"/>
        <w:p w:rsidR="000F69FA" w:rsidRPr="00F4627C" w:rsidRDefault="000F69FA" w:rsidP="001F4AB6">
          <w:pPr>
            <w:spacing w:before="0" w:after="0" w:line="276" w:lineRule="auto"/>
            <w:rPr>
              <w:color w:val="003300"/>
              <w:sz w:val="16"/>
              <w:szCs w:val="16"/>
            </w:rPr>
          </w:pPr>
          <w:r w:rsidRPr="00F4627C">
            <w:rPr>
              <w:color w:val="003300"/>
              <w:sz w:val="16"/>
              <w:szCs w:val="16"/>
            </w:rPr>
            <w:t xml:space="preserve">Váš konzultant: </w:t>
          </w:r>
        </w:p>
        <w:p w:rsidR="00495077" w:rsidRPr="00F4627C" w:rsidRDefault="00495077" w:rsidP="001F4AB6">
          <w:pPr>
            <w:spacing w:before="0" w:after="0" w:line="276" w:lineRule="auto"/>
            <w:rPr>
              <w:color w:val="003300"/>
              <w:sz w:val="16"/>
              <w:szCs w:val="16"/>
            </w:rPr>
          </w:pPr>
        </w:p>
        <w:p w:rsidR="00093E63" w:rsidRPr="00F4627C" w:rsidRDefault="00093E63" w:rsidP="001F4AB6">
          <w:pPr>
            <w:spacing w:before="0" w:after="0" w:line="276" w:lineRule="auto"/>
            <w:rPr>
              <w:color w:val="003300"/>
              <w:sz w:val="16"/>
              <w:szCs w:val="16"/>
            </w:rPr>
          </w:pPr>
        </w:p>
        <w:p w:rsidR="000F69FA" w:rsidRPr="00F4627C" w:rsidRDefault="002E4AC2" w:rsidP="001F4AB6">
          <w:pPr>
            <w:spacing w:before="0" w:after="0" w:line="276" w:lineRule="auto"/>
            <w:rPr>
              <w:color w:val="003300"/>
              <w:sz w:val="16"/>
              <w:szCs w:val="16"/>
            </w:rPr>
          </w:pPr>
        </w:p>
        <w:bookmarkEnd w:id="0" w:displacedByCustomXml="next"/>
      </w:sdtContent>
    </w:sdt>
    <w:sectPr w:rsidR="000F69FA" w:rsidRPr="00F4627C" w:rsidSect="006203D3">
      <w:headerReference w:type="default" r:id="rId12"/>
      <w:footerReference w:type="default" r:id="rId13"/>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C2" w:rsidRDefault="002E4AC2" w:rsidP="00F4420D">
      <w:pPr>
        <w:spacing w:after="0"/>
      </w:pPr>
      <w:r>
        <w:separator/>
      </w:r>
    </w:p>
  </w:endnote>
  <w:endnote w:type="continuationSeparator" w:id="0">
    <w:p w:rsidR="002E4AC2" w:rsidRDefault="002E4AC2"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2E4AC2" w:rsidRPr="002E4AC2">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2E4AC2" w:rsidRPr="002E4AC2">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C2" w:rsidRDefault="002E4AC2" w:rsidP="00F4420D">
      <w:pPr>
        <w:spacing w:after="0"/>
      </w:pPr>
      <w:r>
        <w:separator/>
      </w:r>
    </w:p>
  </w:footnote>
  <w:footnote w:type="continuationSeparator" w:id="0">
    <w:p w:rsidR="002E4AC2" w:rsidRDefault="002E4AC2"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2E" w:rsidRPr="00811B2E" w:rsidRDefault="00811B2E" w:rsidP="00811B2E">
    <w:pPr>
      <w:spacing w:before="0" w:after="0" w:line="276" w:lineRule="auto"/>
      <w:ind w:left="708" w:firstLine="708"/>
      <w:jc w:val="right"/>
      <w:rPr>
        <w:color w:val="A6A6A6" w:themeColor="background1" w:themeShade="A6"/>
        <w:sz w:val="16"/>
        <w:szCs w:val="16"/>
      </w:rPr>
    </w:pPr>
    <w:r w:rsidRPr="00811B2E">
      <w:rPr>
        <w:bCs/>
        <w:color w:val="A6A6A6" w:themeColor="background1" w:themeShade="A6"/>
        <w:sz w:val="16"/>
        <w:szCs w:val="16"/>
      </w:rPr>
      <w:t>European Local Energy Assistance – voľná verzia</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073CA95B" wp14:editId="3D39CB0C">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D82"/>
    <w:multiLevelType w:val="multilevel"/>
    <w:tmpl w:val="0476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569EF"/>
    <w:multiLevelType w:val="multilevel"/>
    <w:tmpl w:val="8AB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D0B95"/>
    <w:multiLevelType w:val="multilevel"/>
    <w:tmpl w:val="0A9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xXmtvAH3VrFTGhyw5b+ZpakqWBw=" w:salt="KxBabod3qHoeUOravq4U8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1D30"/>
    <w:rsid w:val="000F69FA"/>
    <w:rsid w:val="00116E14"/>
    <w:rsid w:val="00135392"/>
    <w:rsid w:val="00150353"/>
    <w:rsid w:val="00157167"/>
    <w:rsid w:val="00164B21"/>
    <w:rsid w:val="00171F91"/>
    <w:rsid w:val="0018154F"/>
    <w:rsid w:val="001932A8"/>
    <w:rsid w:val="001F4AB6"/>
    <w:rsid w:val="00241D19"/>
    <w:rsid w:val="0028147B"/>
    <w:rsid w:val="002E4AC2"/>
    <w:rsid w:val="00310D4D"/>
    <w:rsid w:val="00336689"/>
    <w:rsid w:val="00336A09"/>
    <w:rsid w:val="00343F10"/>
    <w:rsid w:val="00353059"/>
    <w:rsid w:val="00355AA0"/>
    <w:rsid w:val="00357DD7"/>
    <w:rsid w:val="0036304F"/>
    <w:rsid w:val="0037703B"/>
    <w:rsid w:val="003A4705"/>
    <w:rsid w:val="00460A9F"/>
    <w:rsid w:val="0047619C"/>
    <w:rsid w:val="00495077"/>
    <w:rsid w:val="004B073A"/>
    <w:rsid w:val="004B5637"/>
    <w:rsid w:val="004D5EC9"/>
    <w:rsid w:val="004E3C47"/>
    <w:rsid w:val="00504833"/>
    <w:rsid w:val="0052339A"/>
    <w:rsid w:val="00536A81"/>
    <w:rsid w:val="00542CC6"/>
    <w:rsid w:val="00577606"/>
    <w:rsid w:val="005925B6"/>
    <w:rsid w:val="005A643E"/>
    <w:rsid w:val="00602EF9"/>
    <w:rsid w:val="006203D3"/>
    <w:rsid w:val="00645C24"/>
    <w:rsid w:val="00673F90"/>
    <w:rsid w:val="006773FB"/>
    <w:rsid w:val="00681C33"/>
    <w:rsid w:val="006B6987"/>
    <w:rsid w:val="0072638E"/>
    <w:rsid w:val="00736B3E"/>
    <w:rsid w:val="007617E7"/>
    <w:rsid w:val="00787A94"/>
    <w:rsid w:val="007913E6"/>
    <w:rsid w:val="007C3213"/>
    <w:rsid w:val="00804257"/>
    <w:rsid w:val="00811B2E"/>
    <w:rsid w:val="00854341"/>
    <w:rsid w:val="00894C03"/>
    <w:rsid w:val="008B031E"/>
    <w:rsid w:val="008B6A15"/>
    <w:rsid w:val="008D0176"/>
    <w:rsid w:val="008D6AAF"/>
    <w:rsid w:val="008E1621"/>
    <w:rsid w:val="0090074C"/>
    <w:rsid w:val="00903B51"/>
    <w:rsid w:val="009270AE"/>
    <w:rsid w:val="009302C4"/>
    <w:rsid w:val="00933269"/>
    <w:rsid w:val="0095065F"/>
    <w:rsid w:val="009715A2"/>
    <w:rsid w:val="00975E71"/>
    <w:rsid w:val="00976F00"/>
    <w:rsid w:val="00977888"/>
    <w:rsid w:val="009A5A3B"/>
    <w:rsid w:val="00A157B4"/>
    <w:rsid w:val="00A36AFE"/>
    <w:rsid w:val="00AA5082"/>
    <w:rsid w:val="00AE59CA"/>
    <w:rsid w:val="00B36300"/>
    <w:rsid w:val="00B43241"/>
    <w:rsid w:val="00BA5BE0"/>
    <w:rsid w:val="00BE4284"/>
    <w:rsid w:val="00BF6324"/>
    <w:rsid w:val="00BF7C27"/>
    <w:rsid w:val="00C84B9F"/>
    <w:rsid w:val="00C869DB"/>
    <w:rsid w:val="00CA4707"/>
    <w:rsid w:val="00CD484A"/>
    <w:rsid w:val="00CF3C51"/>
    <w:rsid w:val="00D0790B"/>
    <w:rsid w:val="00D10615"/>
    <w:rsid w:val="00D51B96"/>
    <w:rsid w:val="00D80152"/>
    <w:rsid w:val="00D80350"/>
    <w:rsid w:val="00DB0B54"/>
    <w:rsid w:val="00E169A8"/>
    <w:rsid w:val="00E268DD"/>
    <w:rsid w:val="00E26E26"/>
    <w:rsid w:val="00E8111B"/>
    <w:rsid w:val="00EA59F7"/>
    <w:rsid w:val="00EC3558"/>
    <w:rsid w:val="00ED751C"/>
    <w:rsid w:val="00F04A00"/>
    <w:rsid w:val="00F10D78"/>
    <w:rsid w:val="00F4420D"/>
    <w:rsid w:val="00F4627C"/>
    <w:rsid w:val="00F92162"/>
    <w:rsid w:val="00FD2F5D"/>
    <w:rsid w:val="00FE3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PouitHypertextovPrepojenie">
    <w:name w:val="FollowedHyperlink"/>
    <w:basedOn w:val="Predvolenpsmoodseku"/>
    <w:uiPriority w:val="99"/>
    <w:semiHidden/>
    <w:unhideWhenUsed/>
    <w:rsid w:val="006773FB"/>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PouitHypertextovPrepojenie">
    <w:name w:val="FollowedHyperlink"/>
    <w:basedOn w:val="Predvolenpsmoodseku"/>
    <w:uiPriority w:val="99"/>
    <w:semiHidden/>
    <w:unhideWhenUsed/>
    <w:rsid w:val="006773FB"/>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146508455">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1793550276">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coeli.sk/index.php?detailshop=1&amp;cislo=22&amp;img"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mediacoeli.sk/detail-29-mediacoeli_Licen&#269;n&#225;_dohoda_na_verejne_spr&#237;stupnen&#233;_diela_MEDIA_COELI_&#174;.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3E4284"/>
    <w:rsid w:val="00544126"/>
    <w:rsid w:val="00670F02"/>
    <w:rsid w:val="00677726"/>
    <w:rsid w:val="00704098"/>
    <w:rsid w:val="00717489"/>
    <w:rsid w:val="0086398C"/>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EE7ED-0854-4B96-810E-14A2D99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637</Words>
  <Characters>3631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European Local Energy Assistance – voľná verzia</vt:lpstr>
    </vt:vector>
  </TitlesOfParts>
  <Company>MEDIA COELI ®, Pekárska 11, 917 01 Trnava, Slovakia, info@mediacoeli.sk, SK, CZ: 00421911907188,  English, French, German: 00421904807188, www.mediacoeli.sk</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Local Energy Assistance – voľná verzia</dc:title>
  <dc:creator>MEDIA COELI ®</dc:creator>
  <cp:lastModifiedBy>Milena Mrvová</cp:lastModifiedBy>
  <cp:revision>10</cp:revision>
  <cp:lastPrinted>2013-03-28T22:47:00Z</cp:lastPrinted>
  <dcterms:created xsi:type="dcterms:W3CDTF">2013-03-28T22:17:00Z</dcterms:created>
  <dcterms:modified xsi:type="dcterms:W3CDTF">2013-03-28T22:48:00Z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