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Default="00357DD7" w:rsidP="0095065F">
      <w:pPr>
        <w:spacing w:before="0" w:after="0"/>
        <w:rPr>
          <w:color w:val="993366"/>
          <w:sz w:val="20"/>
        </w:rPr>
      </w:pPr>
    </w:p>
    <w:p w:rsidR="004D07FE" w:rsidRDefault="004D07FE" w:rsidP="0095065F">
      <w:pPr>
        <w:spacing w:before="0" w:after="0"/>
        <w:rPr>
          <w:color w:val="993366"/>
          <w:sz w:val="20"/>
        </w:rPr>
      </w:pPr>
    </w:p>
    <w:p w:rsidR="004D07FE" w:rsidRPr="00D61342" w:rsidRDefault="004D07FE" w:rsidP="0095065F">
      <w:pPr>
        <w:spacing w:before="0" w:after="0"/>
        <w:rPr>
          <w:color w:val="993366"/>
          <w:sz w:val="20"/>
        </w:rPr>
      </w:pPr>
    </w:p>
    <w:p w:rsidR="00934C25" w:rsidRPr="00D61342" w:rsidRDefault="00934C25" w:rsidP="00934C25">
      <w:pPr>
        <w:spacing w:before="0" w:after="0"/>
        <w:jc w:val="center"/>
        <w:rPr>
          <w:bCs/>
          <w:color w:val="993366"/>
          <w:kern w:val="36"/>
          <w:sz w:val="20"/>
        </w:rPr>
      </w:pPr>
    </w:p>
    <w:p w:rsidR="006203D3" w:rsidRPr="00D61342" w:rsidRDefault="00934C25" w:rsidP="00D61342">
      <w:pPr>
        <w:spacing w:before="0" w:after="0"/>
        <w:rPr>
          <w:color w:val="993366"/>
          <w:sz w:val="20"/>
        </w:rPr>
      </w:pPr>
      <w:r w:rsidRPr="00D61342">
        <w:rPr>
          <w:bCs/>
          <w:color w:val="993366"/>
          <w:kern w:val="36"/>
          <w:sz w:val="20"/>
        </w:rPr>
        <w:t>Štúdia uskutočniteľnosti.</w:t>
      </w:r>
    </w:p>
    <w:p w:rsidR="00934C25" w:rsidRPr="00D61342" w:rsidRDefault="00934C25" w:rsidP="00934C25">
      <w:pPr>
        <w:spacing w:before="0" w:after="0"/>
        <w:jc w:val="both"/>
        <w:rPr>
          <w:rFonts w:eastAsia="Times New Roman" w:cs="Times New Roman"/>
          <w:bCs/>
          <w:color w:val="993366"/>
          <w:sz w:val="18"/>
          <w:szCs w:val="18"/>
          <w:lang w:eastAsia="sk-SK"/>
        </w:rPr>
      </w:pP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Pred tým, než sa rozhodneme s konečnou platnosťou zrealizovať svoj nápad a investovať energiu, čas, vlastné a aj cudzie zdroje na vybudovanie hypotetickej predstavy, nastáva čas na dôkladné overenie pôsobenia všetkých objektívnych podmienok, prepočet rizika a určenie efektívnych spôsobov realizácie. Kvalitná štúdia uskutočniteľnosti je prevenciou pred omylmi, a zároveň potrebou k efektívnemu využitiu svojich síl, možností, schopností a kapitálu.</w:t>
      </w:r>
    </w:p>
    <w:p w:rsidR="00934C25" w:rsidRPr="00D61342" w:rsidRDefault="00934C25" w:rsidP="00934C25">
      <w:pPr>
        <w:spacing w:before="0" w:after="0"/>
        <w:jc w:val="both"/>
        <w:rPr>
          <w:rFonts w:eastAsia="Times New Roman" w:cs="Times New Roman"/>
          <w:bCs/>
          <w:color w:val="993366"/>
          <w:sz w:val="20"/>
          <w:lang w:eastAsia="sk-SK"/>
        </w:rPr>
      </w:pP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xml:space="preserve">V základnej verzii v spoločnosti MEDIA COELI </w:t>
      </w:r>
      <w:r w:rsidRPr="00D61342">
        <w:rPr>
          <w:rFonts w:eastAsia="Times New Roman" w:cs="Times New Roman"/>
          <w:bCs/>
          <w:color w:val="993366"/>
          <w:sz w:val="20"/>
          <w:vertAlign w:val="superscript"/>
          <w:lang w:eastAsia="sk-SK"/>
        </w:rPr>
        <w:t>®</w:t>
      </w:r>
      <w:r w:rsidRPr="00D61342">
        <w:rPr>
          <w:rFonts w:eastAsia="Times New Roman" w:cs="Times New Roman"/>
          <w:bCs/>
          <w:color w:val="993366"/>
          <w:sz w:val="20"/>
          <w:lang w:eastAsia="sk-SK"/>
        </w:rPr>
        <w:t xml:space="preserve"> vypracovávame štúdiu podľa celosvetovo uznávanej metodiky UNIDO (Organizácia Spojených národov pre priemyslový rozvoj), kde ako prvé je potrebné identifikovať podnikateľskú príležitosť, prípadne vo forme Štúdie príležitostí (Opportunity Study), ktorej cieľom je spracovanie dostupných informácií o príležitostiach konkrétnej spoločnosti alebo jednotlivca za účelom hrubého posúdenia výsledkov a nádejnosti projektov.</w:t>
      </w:r>
    </w:p>
    <w:p w:rsidR="00934C25" w:rsidRPr="00D61342" w:rsidRDefault="00934C25" w:rsidP="00934C25">
      <w:pPr>
        <w:spacing w:before="0" w:after="0"/>
        <w:jc w:val="both"/>
        <w:rPr>
          <w:rFonts w:eastAsia="Times New Roman" w:cs="Times New Roman"/>
          <w:bCs/>
          <w:color w:val="993366"/>
          <w:sz w:val="20"/>
          <w:lang w:eastAsia="sk-SK"/>
        </w:rPr>
      </w:pP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Druhým krokom je vypracovanie predbežnej štúdie uskutočniteľnosti (Pre-Feasibility Study), ktorá posúdi všetky varianty vybraného projektu, určí jeho udržateľnosť a životaschopnosť, definuje dopady projektu na životné prostredie a v neposlednom rade určí, či je základná myšlienka dostatočne atraktívna pre investorov.</w:t>
      </w:r>
    </w:p>
    <w:p w:rsidR="00934C25" w:rsidRPr="00D61342" w:rsidRDefault="00934C25" w:rsidP="00934C25">
      <w:pPr>
        <w:spacing w:before="0" w:after="0"/>
        <w:jc w:val="both"/>
        <w:rPr>
          <w:rFonts w:eastAsia="Times New Roman" w:cs="Times New Roman"/>
          <w:bCs/>
          <w:color w:val="993366"/>
          <w:sz w:val="20"/>
          <w:lang w:eastAsia="sk-SK"/>
        </w:rPr>
      </w:pPr>
      <w:r w:rsidRPr="00D61342">
        <w:rPr>
          <w:rFonts w:eastAsia="Times New Roman" w:cs="Times New Roman"/>
          <w:bCs/>
          <w:color w:val="993366"/>
          <w:sz w:val="20"/>
          <w:lang w:eastAsia="sk-SK"/>
        </w:rPr>
        <w:t xml:space="preserve">Tretím a záverečný krokom prípravnej pred investičnej fázy projektu je vypracovanie </w:t>
      </w:r>
    </w:p>
    <w:p w:rsidR="00934C25" w:rsidRPr="00D61342" w:rsidRDefault="00934C25" w:rsidP="00934C25">
      <w:pPr>
        <w:spacing w:before="0" w:after="0"/>
        <w:jc w:val="both"/>
        <w:rPr>
          <w:rFonts w:eastAsia="Times New Roman" w:cs="Times New Roman"/>
          <w:bCs/>
          <w:color w:val="993366"/>
          <w:sz w:val="20"/>
          <w:lang w:eastAsia="sk-SK"/>
        </w:rPr>
      </w:pP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Štúdie uskutočniteľnosti (Feasibility Study), ktorej cieľom je poskytnúť všetky podklady potrebné pre investičné rozhodnutie. Základné body štúdie sú nasledujúce:</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súhrnný prehľad výsledkov štúdie</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ciele, stratégia a história projektu</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analýza zákonodarstva a predpisov ošetrujúcich oblasť zámeru projektu.</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analýza dostupnej technológie potrebnej na dosiahnutie cieľa, prípadne určenie potreby vývoja nových tecnológií v požadovaných parametroch</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analýza trhu a marketingová stratégia (výsledkom je výrobný program, resp. program služieb – určenie jednotlivých produktov a ich objemov v určitých časových obdobiach; odhad očakávaných výnosov; marketingová stratégia a marketingový mix; odhad marketingových nákladov na zabezpečenie marketingových aktivít)</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xml:space="preserve">- veľkosť a umiestnenie výrobnej jednotky (výsledkom je výber najvhodnejšieho miesta výstavby; voľbu umiestnenia ovplyvňujú: minimálna ekonomická veľkosť, prognóza predaja; zdrojové obmedzenia – materiál, PS, financie; štandardizácia veľkosti výrobných zariadení; táto časť štúdie má za cieľ špecifikovať kľúčové požiadavky projektu na infraštruktúru a pracovné sily; analyzovať a zhodnotiť vplyv projektu na lokalitu a životné prostredie) </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materiálové vstupy a energie (výsledkom je prehľadný súhrn nákladových položiek materiálových vstupov a energií: názov materiálového vstupu a jednotku merania; norma spotreby na jednotku produkcie; očakávaná nákupná cena jednotky materiálového vstupu; očakávané náklady na jednotku produkcie)</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očakávané náklady na plánovaný objem produkcie</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technológia a výrobné zariadenie (výsledkom je optimálny súbor výrobných zariadení a strojov; plán priestorového rozmiestnenia, ktorý stanoví nároky na potrebné prevádzkové budovy; odhad investičný výdavkov na výstavbu budov a stavebno-inžinierske práce; odhad investičných výdavkov na nákup strojovej časti; odhad na obnovu strojov a zariadení s kratšou dobou životnosti ako životnosť projektu)</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pracovné sily (výsledkom sú požiadavky na počet a kvalifikáciu pracovníkov; výber vhodných metód a spôsobov náboru a získavania pracovníkov; potreba programov výcviku a zvyšovania kvalifikácie; výška mzdový nákladov, poistného a pod.)</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organizačné usporiadanie a model riadenia (výsledkom je organizačné usporiadanie jednotky, jej rozčlenenie do jednotlivý útvarov na výrobné a riadiace, s čím súvisia aj režijné náklady a personálne zabezpečenie)</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odhad časovej náročnosti následného projektového manažmentu a realizácie projektu</w:t>
      </w:r>
    </w:p>
    <w:p w:rsidR="004D07FE" w:rsidRDefault="004D07FE" w:rsidP="00934C25">
      <w:pPr>
        <w:spacing w:before="0" w:after="0"/>
        <w:jc w:val="both"/>
        <w:rPr>
          <w:rFonts w:eastAsia="Times New Roman" w:cs="Times New Roman"/>
          <w:bCs/>
          <w:color w:val="993366"/>
          <w:sz w:val="20"/>
          <w:lang w:eastAsia="sk-SK"/>
        </w:rPr>
      </w:pPr>
    </w:p>
    <w:p w:rsidR="004D07FE" w:rsidRDefault="004D07FE" w:rsidP="00934C25">
      <w:pPr>
        <w:spacing w:before="0" w:after="0"/>
        <w:jc w:val="both"/>
        <w:rPr>
          <w:rFonts w:eastAsia="Times New Roman" w:cs="Times New Roman"/>
          <w:bCs/>
          <w:color w:val="993366"/>
          <w:sz w:val="20"/>
          <w:lang w:eastAsia="sk-SK"/>
        </w:rPr>
      </w:pPr>
    </w:p>
    <w:p w:rsidR="00934C25" w:rsidRPr="00D61342" w:rsidRDefault="00934C25" w:rsidP="00934C25">
      <w:pPr>
        <w:spacing w:before="0" w:after="0"/>
        <w:jc w:val="both"/>
        <w:rPr>
          <w:rFonts w:eastAsia="Times New Roman" w:cs="Times New Roman"/>
          <w:bCs/>
          <w:color w:val="993366"/>
          <w:sz w:val="20"/>
          <w:lang w:eastAsia="sk-SK"/>
        </w:rPr>
      </w:pPr>
      <w:r w:rsidRPr="00D61342">
        <w:rPr>
          <w:rFonts w:eastAsia="Times New Roman" w:cs="Times New Roman"/>
          <w:bCs/>
          <w:color w:val="993366"/>
          <w:sz w:val="20"/>
          <w:lang w:eastAsia="sk-SK"/>
        </w:rPr>
        <w:t xml:space="preserve">- finančná analýza a hodnotenie (je to kľúčová časť štúdie uskutočniteľnosti, ktorá poskytuje základné informácie pre rozhodnutie o prijatí alebo zamietnutí projektu; </w:t>
      </w:r>
    </w:p>
    <w:p w:rsidR="00934C25" w:rsidRPr="00D61342" w:rsidRDefault="00934C25" w:rsidP="00934C25">
      <w:pPr>
        <w:spacing w:before="0" w:after="0"/>
        <w:jc w:val="both"/>
        <w:rPr>
          <w:rFonts w:eastAsia="Times New Roman" w:cs="Times New Roman"/>
          <w:bCs/>
          <w:color w:val="993366"/>
          <w:sz w:val="20"/>
          <w:lang w:eastAsia="sk-SK"/>
        </w:rPr>
      </w:pP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xml:space="preserve">obsahuje výpočet finančných základných parametrov: diskontný faktor, Net Present Value – čistá súčasná hodnota, Internal Rate of Return – vnútorné výnosové percento, doba návratnosti, výpočet rozhodujúcich pomerových ukazovateľov, analýzy citlivosti projektu na zmeny cien vstupov a výstupov, zlomová analýza projektu – Break Even Point; zároveň obsahuje vymedzenie štruktúry dlhodobého majetku, riadenie pracovného kapitálu (obežného majetku); plán cash-flow) </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riadenie a analýza rizika</w:t>
      </w: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 plán implementácie</w:t>
      </w:r>
    </w:p>
    <w:p w:rsidR="00934C25" w:rsidRPr="00D61342" w:rsidRDefault="00934C25" w:rsidP="00934C25">
      <w:pPr>
        <w:spacing w:before="0" w:after="0"/>
        <w:jc w:val="both"/>
        <w:rPr>
          <w:rFonts w:eastAsia="Times New Roman" w:cs="Times New Roman"/>
          <w:bCs/>
          <w:color w:val="993366"/>
          <w:sz w:val="20"/>
          <w:lang w:eastAsia="sk-SK"/>
        </w:rPr>
      </w:pPr>
      <w:r w:rsidRPr="00D61342">
        <w:rPr>
          <w:rFonts w:eastAsia="Times New Roman" w:cs="Times New Roman"/>
          <w:bCs/>
          <w:color w:val="993366"/>
          <w:sz w:val="20"/>
          <w:lang w:eastAsia="sk-SK"/>
        </w:rPr>
        <w:t>- závery a</w:t>
      </w:r>
      <w:r w:rsidR="00D61342" w:rsidRPr="00D61342">
        <w:rPr>
          <w:rFonts w:eastAsia="Times New Roman" w:cs="Times New Roman"/>
          <w:bCs/>
          <w:color w:val="993366"/>
          <w:sz w:val="20"/>
          <w:lang w:eastAsia="sk-SK"/>
        </w:rPr>
        <w:t> </w:t>
      </w:r>
      <w:r w:rsidRPr="00D61342">
        <w:rPr>
          <w:rFonts w:eastAsia="Times New Roman" w:cs="Times New Roman"/>
          <w:bCs/>
          <w:color w:val="993366"/>
          <w:sz w:val="20"/>
          <w:lang w:eastAsia="sk-SK"/>
        </w:rPr>
        <w:t>odporúčania</w:t>
      </w:r>
    </w:p>
    <w:p w:rsidR="00D61342" w:rsidRPr="00D61342" w:rsidRDefault="00D61342" w:rsidP="00934C25">
      <w:pPr>
        <w:spacing w:before="0" w:after="0"/>
        <w:jc w:val="both"/>
        <w:rPr>
          <w:rFonts w:eastAsia="Times New Roman" w:cs="Times New Roman"/>
          <w:bCs/>
          <w:color w:val="993366"/>
          <w:sz w:val="20"/>
          <w:lang w:eastAsia="sk-SK"/>
        </w:rPr>
      </w:pPr>
    </w:p>
    <w:p w:rsidR="00D61342" w:rsidRPr="00D61342" w:rsidRDefault="00D61342" w:rsidP="00934C25">
      <w:pPr>
        <w:spacing w:before="0" w:after="0"/>
        <w:jc w:val="both"/>
        <w:rPr>
          <w:rFonts w:eastAsia="Times New Roman" w:cs="Times New Roman"/>
          <w:b w:val="0"/>
          <w:color w:val="993366"/>
          <w:sz w:val="20"/>
          <w:lang w:eastAsia="sk-SK"/>
        </w:rPr>
      </w:pPr>
    </w:p>
    <w:p w:rsidR="00934C25" w:rsidRPr="00D61342" w:rsidRDefault="00934C25" w:rsidP="00934C25">
      <w:pPr>
        <w:spacing w:before="0" w:after="0"/>
        <w:jc w:val="both"/>
        <w:rPr>
          <w:rFonts w:eastAsia="Times New Roman" w:cs="Times New Roman"/>
          <w:b w:val="0"/>
          <w:color w:val="993366"/>
          <w:sz w:val="20"/>
          <w:lang w:eastAsia="sk-SK"/>
        </w:rPr>
      </w:pPr>
      <w:r w:rsidRPr="00D61342">
        <w:rPr>
          <w:rFonts w:eastAsia="Times New Roman" w:cs="Times New Roman"/>
          <w:bCs/>
          <w:color w:val="993366"/>
          <w:sz w:val="20"/>
          <w:lang w:eastAsia="sk-SK"/>
        </w:rPr>
        <w:t>Rozšírená verzia</w:t>
      </w:r>
    </w:p>
    <w:p w:rsidR="00934C25" w:rsidRPr="00D61342" w:rsidRDefault="00934C25" w:rsidP="00934C25">
      <w:pPr>
        <w:spacing w:before="0" w:after="0"/>
        <w:jc w:val="both"/>
        <w:rPr>
          <w:rFonts w:eastAsia="Times New Roman" w:cs="Times New Roman"/>
          <w:bCs/>
          <w:color w:val="993366"/>
          <w:sz w:val="20"/>
          <w:lang w:eastAsia="sk-SK"/>
        </w:rPr>
      </w:pPr>
    </w:p>
    <w:p w:rsidR="00934C25" w:rsidRPr="00D61342" w:rsidRDefault="00934C25" w:rsidP="00934C25">
      <w:pPr>
        <w:spacing w:before="0" w:after="0"/>
        <w:jc w:val="both"/>
        <w:rPr>
          <w:rFonts w:eastAsia="Times New Roman" w:cs="Times New Roman"/>
          <w:bCs/>
          <w:color w:val="993366"/>
          <w:sz w:val="20"/>
          <w:lang w:eastAsia="sk-SK"/>
        </w:rPr>
      </w:pPr>
      <w:r w:rsidRPr="00D61342">
        <w:rPr>
          <w:rFonts w:eastAsia="Times New Roman" w:cs="Times New Roman"/>
          <w:bCs/>
          <w:color w:val="993366"/>
          <w:sz w:val="20"/>
          <w:lang w:eastAsia="sk-SK"/>
        </w:rPr>
        <w:t xml:space="preserve">Dôležitými požiadavkami na spracovanie štúdie sú variantnosť pri rešpektovaní časových a finančných obmedzení a kompatibilita – vzájomná prepojenosť jednotlivých zložiek, nielen vrámci predmetu skúmania a vonkajších okolností, ale aj k entite zadávateľa. V spoločnosti MEDIA COELI </w:t>
      </w:r>
      <w:r w:rsidRPr="00D61342">
        <w:rPr>
          <w:rFonts w:eastAsia="Times New Roman" w:cs="Times New Roman"/>
          <w:bCs/>
          <w:color w:val="993366"/>
          <w:sz w:val="20"/>
          <w:vertAlign w:val="superscript"/>
          <w:lang w:eastAsia="sk-SK"/>
        </w:rPr>
        <w:t>®</w:t>
      </w:r>
      <w:r w:rsidRPr="00D61342">
        <w:rPr>
          <w:rFonts w:eastAsia="Times New Roman" w:cs="Times New Roman"/>
          <w:bCs/>
          <w:color w:val="993366"/>
          <w:sz w:val="20"/>
          <w:lang w:eastAsia="sk-SK"/>
        </w:rPr>
        <w:t xml:space="preserve"> sme počas svojho pôsobenia vyvinuli pre náročné a rozsiahle navzájom prepojené celky našich klientov, synergickú koncepciu štúdie uskutočniteľnosti korešpondujúcu s celkovou filozofiou systému zadávateľa, jeho nadradeného jednotne upraveného celku a následné napojenie na súvisiace podsystémy. </w:t>
      </w:r>
    </w:p>
    <w:p w:rsidR="00934C25" w:rsidRPr="00D61342" w:rsidRDefault="00934C25" w:rsidP="00934C25">
      <w:pPr>
        <w:spacing w:before="0" w:after="0"/>
        <w:jc w:val="both"/>
        <w:rPr>
          <w:rFonts w:eastAsia="Times New Roman" w:cs="Times New Roman"/>
          <w:bCs/>
          <w:color w:val="993366"/>
          <w:sz w:val="20"/>
          <w:lang w:eastAsia="sk-SK"/>
        </w:rPr>
      </w:pPr>
    </w:p>
    <w:p w:rsidR="0095065F" w:rsidRPr="00D61342" w:rsidRDefault="0095065F" w:rsidP="0095065F">
      <w:pPr>
        <w:spacing w:before="0" w:after="0"/>
        <w:rPr>
          <w:color w:val="993366"/>
          <w:sz w:val="20"/>
        </w:rPr>
      </w:pPr>
    </w:p>
    <w:p w:rsidR="00150353" w:rsidRPr="00D61342" w:rsidRDefault="00E169A8" w:rsidP="001F4AB6">
      <w:pPr>
        <w:spacing w:before="0" w:after="0" w:line="276" w:lineRule="auto"/>
        <w:rPr>
          <w:rStyle w:val="Hypertextovprepojenie"/>
          <w:color w:val="993366"/>
          <w:sz w:val="16"/>
          <w:szCs w:val="16"/>
        </w:rPr>
      </w:pPr>
      <w:r w:rsidRPr="00D61342">
        <w:rPr>
          <w:color w:val="993366"/>
          <w:sz w:val="16"/>
          <w:szCs w:val="16"/>
        </w:rPr>
        <w:t xml:space="preserve">verejne sprístupnené dielo MEDIA COELI </w:t>
      </w:r>
      <w:r w:rsidRPr="00D61342">
        <w:rPr>
          <w:color w:val="993366"/>
          <w:sz w:val="16"/>
          <w:szCs w:val="16"/>
          <w:vertAlign w:val="superscript"/>
        </w:rPr>
        <w:t>®</w:t>
      </w:r>
      <w:r w:rsidRPr="00D61342">
        <w:rPr>
          <w:color w:val="993366"/>
          <w:sz w:val="16"/>
          <w:szCs w:val="16"/>
        </w:rPr>
        <w:t xml:space="preserve"> podmienky: </w:t>
      </w:r>
      <w:hyperlink r:id="rId9" w:history="1">
        <w:r w:rsidR="00AE59CA" w:rsidRPr="00D61342">
          <w:rPr>
            <w:rStyle w:val="Hypertextovprepojenie"/>
            <w:color w:val="993366"/>
            <w:sz w:val="16"/>
            <w:szCs w:val="16"/>
          </w:rPr>
          <w:t>www.mediacoeli.sk</w:t>
        </w:r>
      </w:hyperlink>
    </w:p>
    <w:p w:rsidR="001F4AB6" w:rsidRPr="00D61342" w:rsidRDefault="001F4AB6" w:rsidP="001F4AB6">
      <w:pPr>
        <w:spacing w:before="0" w:after="0" w:line="276" w:lineRule="auto"/>
        <w:rPr>
          <w:color w:val="993366"/>
          <w:sz w:val="16"/>
          <w:szCs w:val="16"/>
        </w:rPr>
      </w:pPr>
    </w:p>
    <w:sdt>
      <w:sdtPr>
        <w:rPr>
          <w:color w:val="993366"/>
          <w:sz w:val="16"/>
          <w:szCs w:val="16"/>
        </w:rPr>
        <w:id w:val="1950342598"/>
        <w:placeholder>
          <w:docPart w:val="DefaultPlaceholder_1082065158"/>
        </w:placeholder>
      </w:sdtPr>
      <w:sdtEndPr/>
      <w:sdtContent>
        <w:bookmarkStart w:id="0" w:name="_GoBack" w:displacedByCustomXml="prev"/>
        <w:p w:rsidR="000F69FA" w:rsidRPr="00D61342" w:rsidRDefault="000F69FA" w:rsidP="001F4AB6">
          <w:pPr>
            <w:spacing w:before="0" w:after="0" w:line="276" w:lineRule="auto"/>
            <w:rPr>
              <w:color w:val="993366"/>
              <w:sz w:val="16"/>
              <w:szCs w:val="16"/>
            </w:rPr>
          </w:pPr>
          <w:r w:rsidRPr="00D61342">
            <w:rPr>
              <w:color w:val="993366"/>
              <w:sz w:val="16"/>
              <w:szCs w:val="16"/>
            </w:rPr>
            <w:t xml:space="preserve">Váš konzultant: </w:t>
          </w:r>
        </w:p>
        <w:p w:rsidR="00495077" w:rsidRPr="00D61342" w:rsidRDefault="00495077" w:rsidP="001F4AB6">
          <w:pPr>
            <w:spacing w:before="0" w:after="0" w:line="276" w:lineRule="auto"/>
            <w:rPr>
              <w:color w:val="993366"/>
              <w:sz w:val="16"/>
              <w:szCs w:val="16"/>
            </w:rPr>
          </w:pPr>
        </w:p>
        <w:p w:rsidR="00093E63" w:rsidRPr="00D61342" w:rsidRDefault="00093E63" w:rsidP="001F4AB6">
          <w:pPr>
            <w:spacing w:before="0" w:after="0" w:line="276" w:lineRule="auto"/>
            <w:rPr>
              <w:color w:val="993366"/>
              <w:sz w:val="16"/>
              <w:szCs w:val="16"/>
            </w:rPr>
          </w:pPr>
        </w:p>
        <w:p w:rsidR="000F69FA" w:rsidRPr="00D61342" w:rsidRDefault="00CB7FCF" w:rsidP="001F4AB6">
          <w:pPr>
            <w:spacing w:before="0" w:after="0" w:line="276" w:lineRule="auto"/>
            <w:rPr>
              <w:color w:val="993366"/>
              <w:sz w:val="16"/>
              <w:szCs w:val="16"/>
            </w:rPr>
          </w:pPr>
        </w:p>
        <w:bookmarkEnd w:id="0" w:displacedByCustomXml="next"/>
      </w:sdtContent>
    </w:sdt>
    <w:sectPr w:rsidR="000F69FA" w:rsidRPr="00D61342" w:rsidSect="006203D3">
      <w:headerReference w:type="default" r:id="rId10"/>
      <w:footerReference w:type="default" r:id="rId11"/>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CF" w:rsidRDefault="00CB7FCF" w:rsidP="00F4420D">
      <w:pPr>
        <w:spacing w:after="0"/>
      </w:pPr>
      <w:r>
        <w:separator/>
      </w:r>
    </w:p>
  </w:endnote>
  <w:endnote w:type="continuationSeparator" w:id="0">
    <w:p w:rsidR="00CB7FCF" w:rsidRDefault="00CB7FCF"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CB7FCF" w:rsidRPr="00CB7FCF">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CB7FCF" w:rsidRPr="00CB7FCF">
      <w:rPr>
        <w:b w:val="0"/>
        <w:noProof/>
        <w:color w:val="A6A6A6" w:themeColor="background1" w:themeShade="A6"/>
        <w:sz w:val="16"/>
        <w:szCs w:val="16"/>
      </w:rPr>
      <w:t>1</w:t>
    </w:r>
    <w:r w:rsidRPr="009A5A3B">
      <w:rPr>
        <w:b w:val="0"/>
        <w:color w:val="A6A6A6" w:themeColor="background1" w:themeShade="A6"/>
        <w:sz w:val="16"/>
        <w:szCs w:val="16"/>
      </w:rPr>
      <w:fldChar w:fldCharType="end"/>
    </w: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CF" w:rsidRDefault="00CB7FCF" w:rsidP="00F4420D">
      <w:pPr>
        <w:spacing w:after="0"/>
      </w:pPr>
      <w:r>
        <w:separator/>
      </w:r>
    </w:p>
  </w:footnote>
  <w:footnote w:type="continuationSeparator" w:id="0">
    <w:p w:rsidR="00CB7FCF" w:rsidRDefault="00CB7FCF"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Pr="009A5A3B" w:rsidRDefault="00D61342" w:rsidP="00A36AFE">
    <w:pPr>
      <w:jc w:val="right"/>
      <w:rPr>
        <w:b w:val="0"/>
        <w:color w:val="A6A6A6" w:themeColor="background1" w:themeShade="A6"/>
        <w:sz w:val="16"/>
        <w:szCs w:val="16"/>
      </w:rPr>
    </w:pPr>
    <w:r>
      <w:rPr>
        <w:color w:val="A6A6A6" w:themeColor="background1" w:themeShade="A6"/>
        <w:sz w:val="16"/>
        <w:szCs w:val="16"/>
      </w:rPr>
      <w:t>Štúdia uskutočniteľnosti</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1921A490" wp14:editId="3AB2DCC3">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na/jb9GCbuPxWu9Rm4CpaGOhq8=" w:salt="w/gOqKPa33dYElQaVmSkx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16E14"/>
    <w:rsid w:val="00135392"/>
    <w:rsid w:val="00150353"/>
    <w:rsid w:val="00157167"/>
    <w:rsid w:val="00164B21"/>
    <w:rsid w:val="00171F91"/>
    <w:rsid w:val="0018154F"/>
    <w:rsid w:val="001932A8"/>
    <w:rsid w:val="001C4C87"/>
    <w:rsid w:val="001F4AB6"/>
    <w:rsid w:val="00241D19"/>
    <w:rsid w:val="0028147B"/>
    <w:rsid w:val="002A3D6D"/>
    <w:rsid w:val="00310D4D"/>
    <w:rsid w:val="00336689"/>
    <w:rsid w:val="00336A09"/>
    <w:rsid w:val="00343F10"/>
    <w:rsid w:val="00353059"/>
    <w:rsid w:val="00355AA0"/>
    <w:rsid w:val="00357DD7"/>
    <w:rsid w:val="0036304F"/>
    <w:rsid w:val="0037703B"/>
    <w:rsid w:val="003A4705"/>
    <w:rsid w:val="00447FFD"/>
    <w:rsid w:val="00460A9F"/>
    <w:rsid w:val="0047619C"/>
    <w:rsid w:val="00495077"/>
    <w:rsid w:val="004B073A"/>
    <w:rsid w:val="004B5637"/>
    <w:rsid w:val="004D07FE"/>
    <w:rsid w:val="004D5EC9"/>
    <w:rsid w:val="004E3C47"/>
    <w:rsid w:val="00504833"/>
    <w:rsid w:val="0052339A"/>
    <w:rsid w:val="00536A81"/>
    <w:rsid w:val="00542CC6"/>
    <w:rsid w:val="005925B6"/>
    <w:rsid w:val="005A643E"/>
    <w:rsid w:val="00602EF9"/>
    <w:rsid w:val="006203D3"/>
    <w:rsid w:val="00645C24"/>
    <w:rsid w:val="00673F90"/>
    <w:rsid w:val="00681C33"/>
    <w:rsid w:val="006B6987"/>
    <w:rsid w:val="0072638E"/>
    <w:rsid w:val="00736B3E"/>
    <w:rsid w:val="007617E7"/>
    <w:rsid w:val="00787A94"/>
    <w:rsid w:val="007C3213"/>
    <w:rsid w:val="00804257"/>
    <w:rsid w:val="00854341"/>
    <w:rsid w:val="00894C03"/>
    <w:rsid w:val="008B031E"/>
    <w:rsid w:val="008B6A15"/>
    <w:rsid w:val="008D6AAF"/>
    <w:rsid w:val="008E1621"/>
    <w:rsid w:val="0090074C"/>
    <w:rsid w:val="00903B51"/>
    <w:rsid w:val="009270AE"/>
    <w:rsid w:val="009302C4"/>
    <w:rsid w:val="00933269"/>
    <w:rsid w:val="00934C25"/>
    <w:rsid w:val="0095065F"/>
    <w:rsid w:val="009715A2"/>
    <w:rsid w:val="00975E71"/>
    <w:rsid w:val="00976F00"/>
    <w:rsid w:val="00977888"/>
    <w:rsid w:val="009A5A3B"/>
    <w:rsid w:val="00A157B4"/>
    <w:rsid w:val="00A36AFE"/>
    <w:rsid w:val="00AA5082"/>
    <w:rsid w:val="00AE59CA"/>
    <w:rsid w:val="00B43241"/>
    <w:rsid w:val="00BE4284"/>
    <w:rsid w:val="00BF6324"/>
    <w:rsid w:val="00BF7C27"/>
    <w:rsid w:val="00C84B9F"/>
    <w:rsid w:val="00C869DB"/>
    <w:rsid w:val="00CA4707"/>
    <w:rsid w:val="00CB7FCF"/>
    <w:rsid w:val="00CC3E8D"/>
    <w:rsid w:val="00CD484A"/>
    <w:rsid w:val="00D0790B"/>
    <w:rsid w:val="00D10615"/>
    <w:rsid w:val="00D51B96"/>
    <w:rsid w:val="00D61342"/>
    <w:rsid w:val="00D80350"/>
    <w:rsid w:val="00DB0B54"/>
    <w:rsid w:val="00E169A8"/>
    <w:rsid w:val="00E268DD"/>
    <w:rsid w:val="00E26E26"/>
    <w:rsid w:val="00E8111B"/>
    <w:rsid w:val="00EA59F7"/>
    <w:rsid w:val="00EC3558"/>
    <w:rsid w:val="00ED751C"/>
    <w:rsid w:val="00F04A00"/>
    <w:rsid w:val="00F10D78"/>
    <w:rsid w:val="00F4420D"/>
    <w:rsid w:val="00F9216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acoeli.sk/detail-29-mediacoeli_Licen&#269;n&#225;_dohoda_na_verejne_spr&#237;stupnen&#233;_diela_MEDIA_COELI_&#174;.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670F02"/>
    <w:rsid w:val="00677726"/>
    <w:rsid w:val="00717489"/>
    <w:rsid w:val="0086398C"/>
    <w:rsid w:val="00A3700D"/>
    <w:rsid w:val="00BF2738"/>
    <w:rsid w:val="00CD03B0"/>
    <w:rsid w:val="00D91FD6"/>
    <w:rsid w:val="00DE406D"/>
    <w:rsid w:val="00E43644"/>
    <w:rsid w:val="00E52C02"/>
    <w:rsid w:val="00EC78B3"/>
    <w:rsid w:val="00FE5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C0D5D-8AF7-485B-85A4-4377E261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799</Words>
  <Characters>4558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Štúdia uskutočniteľnosti.</vt:lpstr>
    </vt:vector>
  </TitlesOfParts>
  <Company>MEDIA COELI ®, Pekárska 11, 917 01 Trnava, Slovakia, info@mediacoeli.sk, SK, CZ: 00421911907188,  English, French, German: 00421904807188, www.mediacoeli.sk</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Štúdia uskutočniteľnosti.</dc:title>
  <dc:creator>MEDIA COELI ®</dc:creator>
  <cp:lastModifiedBy>Milena Mrvová</cp:lastModifiedBy>
  <cp:revision>4</cp:revision>
  <cp:lastPrinted>2013-01-20T19:39:00Z</cp:lastPrinted>
  <dcterms:created xsi:type="dcterms:W3CDTF">2013-01-16T08:35:00Z</dcterms:created>
  <dcterms:modified xsi:type="dcterms:W3CDTF">2013-01-20T19:40:00Z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