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0274C5" w:rsidRDefault="00357DD7" w:rsidP="007024DB">
      <w:pPr>
        <w:spacing w:before="0" w:after="0"/>
        <w:jc w:val="both"/>
        <w:rPr>
          <w:b w:val="0"/>
          <w:color w:val="660066"/>
          <w:sz w:val="20"/>
        </w:rPr>
      </w:pPr>
    </w:p>
    <w:p w:rsidR="0095065F" w:rsidRPr="000274C5" w:rsidRDefault="0095065F" w:rsidP="007024DB">
      <w:pPr>
        <w:spacing w:before="0" w:after="0"/>
        <w:jc w:val="both"/>
        <w:rPr>
          <w:color w:val="660066"/>
          <w:sz w:val="20"/>
        </w:rPr>
      </w:pPr>
    </w:p>
    <w:p w:rsidR="00535445" w:rsidRDefault="00535445" w:rsidP="007024DB">
      <w:pPr>
        <w:spacing w:before="0" w:after="0"/>
        <w:jc w:val="both"/>
        <w:rPr>
          <w:b w:val="0"/>
          <w:color w:val="660066"/>
          <w:sz w:val="20"/>
        </w:rPr>
      </w:pPr>
    </w:p>
    <w:p w:rsidR="000274C5" w:rsidRPr="000274C5" w:rsidRDefault="000274C5" w:rsidP="007024DB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Cs/>
          <w:color w:val="660066"/>
          <w:sz w:val="20"/>
        </w:rPr>
        <w:t>Dotácie na zatepľovanie verejných budov a opravu kotlov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Cs/>
          <w:color w:val="660066"/>
          <w:sz w:val="20"/>
        </w:rPr>
        <w:t xml:space="preserve">termín zverejnenia výzvy: 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>1. júl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Cs/>
          <w:color w:val="660066"/>
          <w:sz w:val="20"/>
        </w:rPr>
        <w:t xml:space="preserve">termín podávania žiadostí: 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>30. október (každoročne do 30.10.)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Cs/>
          <w:color w:val="660066"/>
          <w:sz w:val="20"/>
        </w:rPr>
        <w:t>kto môže žiadať:</w:t>
      </w:r>
    </w:p>
    <w:p w:rsidR="00BE0374" w:rsidRPr="000274C5" w:rsidRDefault="00BE0374" w:rsidP="00BE0374">
      <w:pPr>
        <w:numPr>
          <w:ilvl w:val="0"/>
          <w:numId w:val="2"/>
        </w:num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>fyzické osoby nepodnikatelia (len obnoviteľné zdroje)</w:t>
      </w:r>
    </w:p>
    <w:p w:rsidR="00BE0374" w:rsidRPr="000274C5" w:rsidRDefault="00BE0374" w:rsidP="00BE0374">
      <w:pPr>
        <w:numPr>
          <w:ilvl w:val="0"/>
          <w:numId w:val="2"/>
        </w:num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>právnická osoba, ktorá nepodniká, obec, samosprávny kraj, príspevková organizácia, občianske združenie, záujmové združenie právnických osôb, nadácia, neinvestičný fond alebo nezisková organizácia poskytujúca verejnoprospešné služby s environmentálnym zameraním alebo cirkev a náboženská spoločnosť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Cs/>
          <w:color w:val="660066"/>
          <w:sz w:val="20"/>
        </w:rPr>
        <w:t>na čo sa dá žiadať: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>-výmena zariadení na prípravu tepla a teplej úžitkovej vody využívajúcich fosílne palivá za zariadenia využívajúce biomasu, za tepelné čerpadlá alebo solárne kolektory vrátane výmeny celej sústavy;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 xml:space="preserve">- inštalácia nových zariadení na prípravu tepla a teplej úžitkovej vody využívajúce biomasu, inštalácia tepelných čerpadiel alebo solárnych kolektorov vrátane inštalácie celej sústavy; 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>- inštalácia alebo modernizácia energiu šetriacich zariadení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 xml:space="preserve">- </w:t>
      </w:r>
      <w:r w:rsidRPr="000274C5">
        <w:rPr>
          <w:bCs/>
          <w:color w:val="660066"/>
          <w:sz w:val="20"/>
        </w:rPr>
        <w:t>programy na zlepšenie energetickej hospodárnosti budov s cieľom dosiahnuť zníženie spotreby tepla</w:t>
      </w:r>
      <w:r w:rsidRPr="000274C5">
        <w:rPr>
          <w:b w:val="0"/>
          <w:color w:val="660066"/>
          <w:sz w:val="20"/>
        </w:rPr>
        <w:t xml:space="preserve"> a zvýšenie technických a hygienických štandardov prostredníctvom realizácie nasledovných opatrení: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>- zateplenie obvodových stien; zateplenie strechy, zateplenie stropu najvyššieho podlažia, zateplenie stropu nevykurovanej pivnice, podlahy nad zeminou alebo nevykurovaným priestorom stien medzi vykurovaným a nevykurovaným priestorom; výplň otvorov; systém vetrania s rekuperáciou odpadového tepla; kombinácia aktivít.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Cs/>
          <w:color w:val="660066"/>
          <w:sz w:val="20"/>
        </w:rPr>
        <w:t xml:space="preserve">minimálna výška projektu: 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>nie je stanovená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Cs/>
          <w:color w:val="660066"/>
          <w:sz w:val="20"/>
        </w:rPr>
        <w:t>maximálna výška projektu: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>nie je stanovená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Cs/>
          <w:color w:val="660066"/>
          <w:sz w:val="20"/>
        </w:rPr>
        <w:t>výška dotácie: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>95 % z oprávnených výdavkov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Cs/>
          <w:color w:val="660066"/>
          <w:sz w:val="20"/>
        </w:rPr>
        <w:t>dĺžka realizácie projektu: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 w:val="0"/>
          <w:color w:val="660066"/>
          <w:sz w:val="20"/>
        </w:rPr>
        <w:t>6 mesiacov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r w:rsidRPr="000274C5">
        <w:rPr>
          <w:bCs/>
          <w:color w:val="660066"/>
          <w:sz w:val="20"/>
        </w:rPr>
        <w:t xml:space="preserve">podrobnosti o výzve: </w:t>
      </w:r>
    </w:p>
    <w:p w:rsidR="00BE0374" w:rsidRPr="000274C5" w:rsidRDefault="00BE0374" w:rsidP="00BE0374">
      <w:pPr>
        <w:spacing w:before="0" w:after="0"/>
        <w:jc w:val="both"/>
        <w:rPr>
          <w:b w:val="0"/>
          <w:color w:val="660066"/>
          <w:sz w:val="20"/>
        </w:rPr>
      </w:pPr>
      <w:hyperlink r:id="rId10" w:history="1">
        <w:r w:rsidRPr="000274C5">
          <w:rPr>
            <w:rStyle w:val="Hypertextovprepojenie"/>
            <w:b w:val="0"/>
            <w:color w:val="660066"/>
            <w:sz w:val="20"/>
          </w:rPr>
          <w:t>http://www.envirofond.sk/</w:t>
        </w:r>
      </w:hyperlink>
    </w:p>
    <w:p w:rsidR="00BE0374" w:rsidRPr="000274C5" w:rsidRDefault="00BE0374" w:rsidP="007024DB">
      <w:pPr>
        <w:spacing w:before="0" w:after="0"/>
        <w:jc w:val="both"/>
        <w:rPr>
          <w:b w:val="0"/>
          <w:color w:val="660066"/>
          <w:sz w:val="20"/>
        </w:rPr>
      </w:pPr>
    </w:p>
    <w:p w:rsidR="00BE0374" w:rsidRPr="000274C5" w:rsidRDefault="00BE0374" w:rsidP="007024DB">
      <w:pPr>
        <w:spacing w:before="0" w:after="0"/>
        <w:jc w:val="both"/>
        <w:rPr>
          <w:b w:val="0"/>
          <w:color w:val="660066"/>
          <w:sz w:val="20"/>
        </w:rPr>
      </w:pPr>
    </w:p>
    <w:p w:rsidR="00150353" w:rsidRPr="000274C5" w:rsidRDefault="00E169A8" w:rsidP="007024DB">
      <w:pPr>
        <w:spacing w:before="0" w:after="0" w:line="276" w:lineRule="auto"/>
        <w:jc w:val="both"/>
        <w:rPr>
          <w:rStyle w:val="Hypertextovprepojenie"/>
          <w:color w:val="660066"/>
          <w:sz w:val="16"/>
          <w:szCs w:val="16"/>
        </w:rPr>
      </w:pPr>
      <w:r w:rsidRPr="000274C5">
        <w:rPr>
          <w:color w:val="660066"/>
          <w:sz w:val="16"/>
          <w:szCs w:val="16"/>
        </w:rPr>
        <w:t xml:space="preserve">verejne sprístupnené dielo MEDIA COELI </w:t>
      </w:r>
      <w:r w:rsidRPr="000274C5">
        <w:rPr>
          <w:color w:val="660066"/>
          <w:sz w:val="16"/>
          <w:szCs w:val="16"/>
          <w:vertAlign w:val="superscript"/>
        </w:rPr>
        <w:t>®</w:t>
      </w:r>
      <w:r w:rsidRPr="000274C5">
        <w:rPr>
          <w:color w:val="660066"/>
          <w:sz w:val="16"/>
          <w:szCs w:val="16"/>
        </w:rPr>
        <w:t xml:space="preserve"> podmienky: </w:t>
      </w:r>
      <w:hyperlink r:id="rId11" w:history="1">
        <w:r w:rsidR="00AE59CA" w:rsidRPr="000274C5">
          <w:rPr>
            <w:rStyle w:val="Hypertextovprepojenie"/>
            <w:color w:val="660066"/>
            <w:sz w:val="16"/>
            <w:szCs w:val="16"/>
          </w:rPr>
          <w:t>www.mediacoeli.sk</w:t>
        </w:r>
      </w:hyperlink>
    </w:p>
    <w:p w:rsidR="001F4AB6" w:rsidRPr="000274C5" w:rsidRDefault="001F4AB6" w:rsidP="007024DB">
      <w:pPr>
        <w:spacing w:before="0" w:after="0" w:line="276" w:lineRule="auto"/>
        <w:jc w:val="both"/>
        <w:rPr>
          <w:color w:val="660066"/>
          <w:sz w:val="16"/>
          <w:szCs w:val="16"/>
        </w:rPr>
      </w:pPr>
    </w:p>
    <w:sdt>
      <w:sdtPr>
        <w:rPr>
          <w:color w:val="660066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0274C5" w:rsidRDefault="000F69FA" w:rsidP="007024DB">
          <w:pPr>
            <w:spacing w:before="0" w:after="0" w:line="276" w:lineRule="auto"/>
            <w:jc w:val="both"/>
            <w:rPr>
              <w:color w:val="660066"/>
              <w:sz w:val="16"/>
              <w:szCs w:val="16"/>
            </w:rPr>
          </w:pPr>
          <w:r w:rsidRPr="000274C5">
            <w:rPr>
              <w:color w:val="660066"/>
              <w:sz w:val="16"/>
              <w:szCs w:val="16"/>
            </w:rPr>
            <w:t xml:space="preserve">Váš konzultant: </w:t>
          </w:r>
        </w:p>
        <w:p w:rsidR="00495077" w:rsidRPr="000274C5" w:rsidRDefault="00495077" w:rsidP="007024DB">
          <w:pPr>
            <w:spacing w:before="0" w:after="0" w:line="276" w:lineRule="auto"/>
            <w:jc w:val="both"/>
            <w:rPr>
              <w:color w:val="660066"/>
              <w:sz w:val="16"/>
              <w:szCs w:val="16"/>
            </w:rPr>
          </w:pPr>
        </w:p>
        <w:p w:rsidR="00093E63" w:rsidRPr="000274C5" w:rsidRDefault="00093E63" w:rsidP="007024DB">
          <w:pPr>
            <w:spacing w:before="0" w:after="0" w:line="276" w:lineRule="auto"/>
            <w:jc w:val="both"/>
            <w:rPr>
              <w:color w:val="660066"/>
              <w:sz w:val="16"/>
              <w:szCs w:val="16"/>
            </w:rPr>
          </w:pPr>
        </w:p>
        <w:p w:rsidR="000F69FA" w:rsidRPr="000274C5" w:rsidRDefault="00F72F0A" w:rsidP="007024DB">
          <w:pPr>
            <w:spacing w:before="0" w:after="0" w:line="276" w:lineRule="auto"/>
            <w:jc w:val="both"/>
            <w:rPr>
              <w:b w:val="0"/>
              <w:color w:val="660066"/>
              <w:sz w:val="16"/>
              <w:szCs w:val="16"/>
            </w:rPr>
          </w:pPr>
        </w:p>
        <w:bookmarkEnd w:id="0" w:displacedByCustomXml="next"/>
      </w:sdtContent>
    </w:sdt>
    <w:sectPr w:rsidR="000F69FA" w:rsidRPr="000274C5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0A" w:rsidRDefault="00F72F0A" w:rsidP="00F4420D">
      <w:pPr>
        <w:spacing w:after="0"/>
      </w:pPr>
      <w:r>
        <w:separator/>
      </w:r>
    </w:p>
  </w:endnote>
  <w:endnote w:type="continuationSeparator" w:id="0">
    <w:p w:rsidR="00F72F0A" w:rsidRDefault="00F72F0A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F72F0A" w:rsidRPr="00F72F0A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F72F0A" w:rsidRPr="00F72F0A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0A" w:rsidRDefault="00F72F0A" w:rsidP="00F4420D">
      <w:pPr>
        <w:spacing w:after="0"/>
      </w:pPr>
      <w:r>
        <w:separator/>
      </w:r>
    </w:p>
  </w:footnote>
  <w:footnote w:type="continuationSeparator" w:id="0">
    <w:p w:rsidR="00F72F0A" w:rsidRDefault="00F72F0A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68" w:rsidRDefault="00051868" w:rsidP="00A36AFE">
    <w:pPr>
      <w:spacing w:before="0" w:after="0" w:line="276" w:lineRule="auto"/>
      <w:ind w:left="708" w:firstLine="708"/>
      <w:jc w:val="right"/>
      <w:rPr>
        <w:bCs/>
        <w:color w:val="A6A6A6" w:themeColor="background1" w:themeShade="A6"/>
        <w:sz w:val="16"/>
        <w:szCs w:val="16"/>
      </w:rPr>
    </w:pPr>
    <w:r w:rsidRPr="00051868">
      <w:rPr>
        <w:bCs/>
        <w:color w:val="A6A6A6" w:themeColor="background1" w:themeShade="A6"/>
        <w:sz w:val="16"/>
        <w:szCs w:val="16"/>
      </w:rPr>
      <w:t>Do 30.10. každoročne: Zelená investičná schéma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7A0AFC1D" wp14:editId="1276E9E9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0E9"/>
    <w:multiLevelType w:val="hybridMultilevel"/>
    <w:tmpl w:val="862E1A16"/>
    <w:lvl w:ilvl="0" w:tplc="3982B9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1304"/>
    <w:multiLevelType w:val="multilevel"/>
    <w:tmpl w:val="5238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jLeTl5E2NaKjNZdobrchXcN4ok=" w:salt="ANHqBY3c3+mwefE/oxT4d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274C5"/>
    <w:rsid w:val="00051868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4517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5445"/>
    <w:rsid w:val="00536A81"/>
    <w:rsid w:val="00542CC6"/>
    <w:rsid w:val="005925B6"/>
    <w:rsid w:val="005A643E"/>
    <w:rsid w:val="005F0051"/>
    <w:rsid w:val="00602EF9"/>
    <w:rsid w:val="006203D3"/>
    <w:rsid w:val="00645C24"/>
    <w:rsid w:val="00673F90"/>
    <w:rsid w:val="00681C33"/>
    <w:rsid w:val="006A0E3C"/>
    <w:rsid w:val="006B6987"/>
    <w:rsid w:val="007024DB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E0374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516DD"/>
    <w:rsid w:val="00E8111B"/>
    <w:rsid w:val="00EA59F7"/>
    <w:rsid w:val="00EC3558"/>
    <w:rsid w:val="00ED751C"/>
    <w:rsid w:val="00F04A00"/>
    <w:rsid w:val="00F10D78"/>
    <w:rsid w:val="00F4420D"/>
    <w:rsid w:val="00F72F0A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nvirofond.sk/sk/novinky.html?conf=zlY41C-XD3xIZeaSGObuBheYhyhb2hWbOZwlH6Mk,8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5C3B51"/>
    <w:rsid w:val="00670F02"/>
    <w:rsid w:val="00677726"/>
    <w:rsid w:val="00717489"/>
    <w:rsid w:val="0073796B"/>
    <w:rsid w:val="0086398C"/>
    <w:rsid w:val="008B00EC"/>
    <w:rsid w:val="00A3700D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FD4C1-A0D6-4CDF-BCCE-6564994A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 30.10. každoročne: Zelená investičná schéma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30.10. každoročne: Zelená investičná schéma</dc:title>
  <dc:creator>Milena Mrvová;MEDIA COELI ®</dc:creator>
  <cp:lastModifiedBy>Milena Mrvová</cp:lastModifiedBy>
  <cp:revision>6</cp:revision>
  <cp:lastPrinted>2013-06-22T16:45:00Z</cp:lastPrinted>
  <dcterms:created xsi:type="dcterms:W3CDTF">2013-06-22T15:26:00Z</dcterms:created>
  <dcterms:modified xsi:type="dcterms:W3CDTF">2013-06-22T16:46:00Z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