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3A5851" w:rsidRDefault="00357DD7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6203D3" w:rsidRPr="003A5851" w:rsidRDefault="006203D3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976F00" w:rsidRPr="003A5851" w:rsidRDefault="00976F00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2A1692" w:rsidRPr="003A5851" w:rsidRDefault="002A1692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D31709" w:rsidRPr="003A5851" w:rsidRDefault="00D31709" w:rsidP="00D31709">
      <w:p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Obchodný prípad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>Súčasťou každej obchodnej činnosti je neustále zlepšovanie vnútorných procesov firmy, jej pozície na trhu, prípadne rozvoj nových príležitostí. V každej z týchto situácií je nevyhnutné vykonať rad krokov, aby sa mohol problém vyriešiť, prípadne, aby sa mohla využiť nová príležitosť na rozvoj a rast.</w:t>
      </w:r>
      <w:r w:rsidRPr="003A5851">
        <w:rPr>
          <w:b w:val="0"/>
          <w:bCs/>
          <w:color w:val="993300"/>
          <w:sz w:val="18"/>
          <w:szCs w:val="18"/>
        </w:rPr>
        <w:t xml:space="preserve"> </w:t>
      </w:r>
    </w:p>
    <w:p w:rsidR="00D31709" w:rsidRPr="003A5851" w:rsidRDefault="00D31709" w:rsidP="00D31709">
      <w:p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Základom týchto nevyhnutných krokov je identifikovanie problému alebo príležitosti, ich analýza, zdôvodnenie príčin alebo výhodnosť investície, a podobne.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Na nasledujúcich riadkoch je stručne zhrnutý štandardný proces riešenia obchodného problému alebo analýzy obchodnej príležitosti v logickej postupnosti krok po kroku. 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Zhrnutie</w:t>
      </w: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Určenie a identifikácia obchodného problému / príležitosti</w:t>
      </w:r>
      <w:r w:rsidRPr="003A5851">
        <w:rPr>
          <w:b w:val="0"/>
          <w:bCs/>
          <w:color w:val="993300"/>
          <w:sz w:val="18"/>
          <w:szCs w:val="18"/>
        </w:rPr>
        <w:t xml:space="preserve"> </w:t>
      </w:r>
      <w:r w:rsidRPr="003A5851">
        <w:rPr>
          <w:b w:val="0"/>
          <w:color w:val="993300"/>
          <w:sz w:val="18"/>
          <w:szCs w:val="18"/>
        </w:rPr>
        <w:t>(nerieši spôsob dosiahnutia cieľa, ani podrobnejšiu analýzu problému / príležitosti)</w:t>
      </w: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Očakávaný výsledok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- prínosy pre podnikanie po realizácii projektu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- predpokladaný záverečný model</w:t>
      </w: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Návrhy riešení</w:t>
      </w: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Odôvodnenie realizácie projektu</w:t>
      </w:r>
    </w:p>
    <w:p w:rsidR="00D31709" w:rsidRPr="003A5851" w:rsidRDefault="00D31709" w:rsidP="00D31709">
      <w:pPr>
        <w:spacing w:before="0" w:after="0"/>
        <w:ind w:left="720"/>
        <w:jc w:val="both"/>
        <w:rPr>
          <w:b w:val="0"/>
          <w:bCs/>
          <w:color w:val="993300"/>
          <w:sz w:val="18"/>
          <w:szCs w:val="18"/>
        </w:rPr>
      </w:pPr>
      <w:r w:rsidRPr="003A5851">
        <w:rPr>
          <w:b w:val="0"/>
          <w:bCs/>
          <w:color w:val="993300"/>
          <w:sz w:val="18"/>
          <w:szCs w:val="18"/>
        </w:rPr>
        <w:t>- odôvodnenie výberu riešenia z navrhovaných alternatív a porovnanie s alternatívnymi riešeniami ( prínosy v rôznych oblastiach: režijné náklady, časová efektivita, výnosy, personálna stabilizácia, povedomie značky, …)</w:t>
      </w:r>
    </w:p>
    <w:p w:rsidR="00D31709" w:rsidRPr="003A5851" w:rsidRDefault="00D31709" w:rsidP="00D31709">
      <w:pPr>
        <w:numPr>
          <w:ilvl w:val="0"/>
          <w:numId w:val="1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Určenie projektového tímu</w:t>
      </w:r>
    </w:p>
    <w:p w:rsidR="00D31709" w:rsidRPr="003A5851" w:rsidRDefault="00B42E77" w:rsidP="00B42E77">
      <w:pPr>
        <w:spacing w:before="0" w:after="0"/>
        <w:ind w:left="720"/>
        <w:jc w:val="both"/>
        <w:rPr>
          <w:b w:val="0"/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 xml:space="preserve">- </w:t>
      </w:r>
      <w:r w:rsidR="00D31709" w:rsidRPr="003A5851">
        <w:rPr>
          <w:b w:val="0"/>
          <w:color w:val="993300"/>
          <w:sz w:val="18"/>
          <w:szCs w:val="18"/>
        </w:rPr>
        <w:t>analýza potrieb personálneho obsadenia členov tímu</w:t>
      </w:r>
    </w:p>
    <w:p w:rsidR="00D31709" w:rsidRPr="003A5851" w:rsidRDefault="00B42E77" w:rsidP="00B42E77">
      <w:pPr>
        <w:spacing w:before="0" w:after="0"/>
        <w:ind w:left="720"/>
        <w:jc w:val="both"/>
        <w:rPr>
          <w:b w:val="0"/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-</w:t>
      </w:r>
      <w:r w:rsidRPr="003A5851">
        <w:rPr>
          <w:color w:val="993300"/>
          <w:sz w:val="18"/>
          <w:szCs w:val="18"/>
        </w:rPr>
        <w:t xml:space="preserve"> </w:t>
      </w:r>
      <w:r w:rsidR="00D31709" w:rsidRPr="003A5851">
        <w:rPr>
          <w:b w:val="0"/>
          <w:color w:val="993300"/>
          <w:sz w:val="18"/>
          <w:szCs w:val="18"/>
        </w:rPr>
        <w:t>určenie druhu profesných expertov</w:t>
      </w:r>
    </w:p>
    <w:p w:rsidR="00D31709" w:rsidRPr="003A5851" w:rsidRDefault="00B42E77" w:rsidP="00B42E77">
      <w:pPr>
        <w:spacing w:before="0" w:after="0"/>
        <w:ind w:left="720"/>
        <w:jc w:val="both"/>
        <w:rPr>
          <w:b w:val="0"/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-</w:t>
      </w:r>
      <w:r w:rsidRPr="003A5851">
        <w:rPr>
          <w:color w:val="993300"/>
          <w:sz w:val="18"/>
          <w:szCs w:val="18"/>
        </w:rPr>
        <w:t xml:space="preserve"> </w:t>
      </w:r>
      <w:r w:rsidR="00D31709" w:rsidRPr="003A5851">
        <w:rPr>
          <w:b w:val="0"/>
          <w:color w:val="993300"/>
          <w:sz w:val="18"/>
          <w:szCs w:val="18"/>
        </w:rPr>
        <w:t>určenie konkrétnych, alebo určenie predpokladov osôb v tíme ( interný, externý, kombinovaný tým) a kontaktných osôb</w:t>
      </w:r>
    </w:p>
    <w:p w:rsidR="00D31709" w:rsidRPr="003A5851" w:rsidRDefault="00B42E77" w:rsidP="00B42E77">
      <w:pPr>
        <w:spacing w:before="0" w:after="0"/>
        <w:ind w:left="720"/>
        <w:jc w:val="both"/>
        <w:rPr>
          <w:b w:val="0"/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-</w:t>
      </w:r>
      <w:r w:rsidRPr="003A5851">
        <w:rPr>
          <w:color w:val="993300"/>
          <w:sz w:val="18"/>
          <w:szCs w:val="18"/>
        </w:rPr>
        <w:t xml:space="preserve"> </w:t>
      </w:r>
      <w:r w:rsidR="00D31709" w:rsidRPr="003A5851">
        <w:rPr>
          <w:b w:val="0"/>
          <w:color w:val="993300"/>
          <w:sz w:val="18"/>
          <w:szCs w:val="18"/>
        </w:rPr>
        <w:t>definícia a pridelenie úloh</w:t>
      </w:r>
    </w:p>
    <w:p w:rsidR="00D31709" w:rsidRPr="003A5851" w:rsidRDefault="00B42E77" w:rsidP="00B42E77">
      <w:pPr>
        <w:spacing w:before="0" w:after="0"/>
        <w:ind w:left="72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-</w:t>
      </w:r>
      <w:r w:rsidRPr="003A5851">
        <w:rPr>
          <w:color w:val="993300"/>
          <w:sz w:val="18"/>
          <w:szCs w:val="18"/>
        </w:rPr>
        <w:t xml:space="preserve"> </w:t>
      </w:r>
      <w:r w:rsidR="00D31709" w:rsidRPr="003A5851">
        <w:rPr>
          <w:b w:val="0"/>
          <w:color w:val="993300"/>
          <w:sz w:val="18"/>
          <w:szCs w:val="18"/>
        </w:rPr>
        <w:t xml:space="preserve">časový harmonogram 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</w:p>
    <w:p w:rsidR="00D31709" w:rsidRPr="003A5851" w:rsidRDefault="00D31709" w:rsidP="00D31709">
      <w:p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V prípade analýzy obchodnej príležitosti je v tomto bode potrebné spracovať štúdiu uskutočniteľnosti, aby bolo možné posúdiť zmysluplnosť ďalších krokov, prípadne určiť konkrétny variant danej príležitosti.</w:t>
      </w:r>
    </w:p>
    <w:p w:rsidR="00D31709" w:rsidRPr="003A5851" w:rsidRDefault="00D31709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Určenie príčin problému / predpokladov príležitosti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Organizačné dopady</w:t>
      </w:r>
    </w:p>
    <w:p w:rsidR="00D31709" w:rsidRPr="003A5851" w:rsidRDefault="00B42E77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vplyv na organizačné procesy</w:t>
      </w:r>
    </w:p>
    <w:p w:rsidR="00D31709" w:rsidRPr="003A5851" w:rsidRDefault="00B42E77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potreby materiálno technického zabezpečenia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Popis implementácie novej technológie a postupov</w:t>
      </w:r>
    </w:p>
    <w:p w:rsidR="00D31709" w:rsidRPr="003A5851" w:rsidRDefault="00B42E77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technické požiadavky a prekážky, ktoré bude nutné vyriešiť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Prehľad projektu</w:t>
      </w:r>
    </w:p>
    <w:p w:rsidR="00D31709" w:rsidRPr="003A5851" w:rsidRDefault="00B42E77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ciele, predpoklady, obmedzenia, kritéria, medzníky, …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Všeobecný popis projektu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Ciele projektu</w:t>
      </w:r>
    </w:p>
    <w:p w:rsidR="00D31709" w:rsidRPr="003A5851" w:rsidRDefault="00B42E77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zoznam čiastočných cieľov a zámerov v projekte a ich popis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Popis opatrení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Popis predbežných predpokladov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Popis predbežných obmedzení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 xml:space="preserve">Časový harmonogram 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 xml:space="preserve">Strategické zapracovanie a plán </w:t>
      </w:r>
    </w:p>
    <w:p w:rsidR="00D31709" w:rsidRPr="003A5851" w:rsidRDefault="000F64AE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zosúladenie projektu so strategickými dokumentami</w:t>
      </w:r>
    </w:p>
    <w:p w:rsidR="00D31709" w:rsidRPr="003A5851" w:rsidRDefault="000F64AE" w:rsidP="00D31709">
      <w:pPr>
        <w:spacing w:before="0" w:after="0"/>
        <w:jc w:val="both"/>
        <w:rPr>
          <w:b w:val="0"/>
          <w:color w:val="993300"/>
          <w:sz w:val="18"/>
          <w:szCs w:val="18"/>
        </w:rPr>
      </w:pPr>
      <w:r w:rsidRPr="003A5851">
        <w:rPr>
          <w:b w:val="0"/>
          <w:color w:val="993300"/>
          <w:sz w:val="18"/>
          <w:szCs w:val="18"/>
        </w:rPr>
        <w:t xml:space="preserve">         </w:t>
      </w:r>
      <w:r w:rsidR="00D31709" w:rsidRPr="003A5851">
        <w:rPr>
          <w:b w:val="0"/>
          <w:color w:val="993300"/>
          <w:sz w:val="18"/>
          <w:szCs w:val="18"/>
        </w:rPr>
        <w:t>- vplyv na posun spoločnosti vpred, vzhľadom na strategické plány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Analýza nákladov a výnosov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 xml:space="preserve">SWOT analýza alternatívnej možnosti </w:t>
      </w:r>
    </w:p>
    <w:p w:rsidR="00D31709" w:rsidRPr="003A5851" w:rsidRDefault="00D31709" w:rsidP="00D31709">
      <w:pPr>
        <w:numPr>
          <w:ilvl w:val="0"/>
          <w:numId w:val="2"/>
        </w:numPr>
        <w:spacing w:before="0" w:after="0"/>
        <w:jc w:val="both"/>
        <w:rPr>
          <w:color w:val="993300"/>
          <w:sz w:val="18"/>
          <w:szCs w:val="18"/>
        </w:rPr>
      </w:pPr>
      <w:r w:rsidRPr="003A5851">
        <w:rPr>
          <w:bCs/>
          <w:color w:val="993300"/>
          <w:sz w:val="18"/>
          <w:szCs w:val="18"/>
        </w:rPr>
        <w:t>Schválenie projektu</w:t>
      </w:r>
    </w:p>
    <w:p w:rsidR="0095065F" w:rsidRPr="003A5851" w:rsidRDefault="0095065F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95065F" w:rsidRPr="003A5851" w:rsidRDefault="0095065F" w:rsidP="00D31709">
      <w:pPr>
        <w:spacing w:before="0" w:after="0"/>
        <w:jc w:val="both"/>
        <w:rPr>
          <w:b w:val="0"/>
          <w:color w:val="993300"/>
          <w:sz w:val="20"/>
        </w:rPr>
      </w:pPr>
    </w:p>
    <w:p w:rsidR="00150353" w:rsidRPr="003A5851" w:rsidRDefault="00E169A8" w:rsidP="00D31709">
      <w:pPr>
        <w:spacing w:before="0" w:after="0" w:line="276" w:lineRule="auto"/>
        <w:jc w:val="both"/>
        <w:rPr>
          <w:rStyle w:val="Hypertextovprepojenie"/>
          <w:color w:val="993300"/>
          <w:sz w:val="16"/>
          <w:szCs w:val="16"/>
        </w:rPr>
      </w:pPr>
      <w:r w:rsidRPr="003A5851">
        <w:rPr>
          <w:color w:val="993300"/>
          <w:sz w:val="16"/>
          <w:szCs w:val="16"/>
        </w:rPr>
        <w:t xml:space="preserve">verejne sprístupnené dielo MEDIA COELI </w:t>
      </w:r>
      <w:r w:rsidRPr="003A5851">
        <w:rPr>
          <w:color w:val="993300"/>
          <w:sz w:val="16"/>
          <w:szCs w:val="16"/>
          <w:vertAlign w:val="superscript"/>
        </w:rPr>
        <w:t>®</w:t>
      </w:r>
      <w:r w:rsidRPr="003A5851">
        <w:rPr>
          <w:color w:val="993300"/>
          <w:sz w:val="16"/>
          <w:szCs w:val="16"/>
        </w:rPr>
        <w:t xml:space="preserve"> podmienky: </w:t>
      </w:r>
      <w:hyperlink r:id="rId10" w:history="1">
        <w:r w:rsidR="00AE59CA" w:rsidRPr="003A5851">
          <w:rPr>
            <w:rStyle w:val="Hypertextovprepojenie"/>
            <w:color w:val="993300"/>
            <w:sz w:val="16"/>
            <w:szCs w:val="16"/>
          </w:rPr>
          <w:t>www.mediacoeli.sk</w:t>
        </w:r>
      </w:hyperlink>
    </w:p>
    <w:p w:rsidR="001F4AB6" w:rsidRPr="003A5851" w:rsidRDefault="001F4AB6" w:rsidP="00D31709">
      <w:pPr>
        <w:spacing w:before="0" w:after="0" w:line="276" w:lineRule="auto"/>
        <w:jc w:val="both"/>
        <w:rPr>
          <w:b w:val="0"/>
          <w:color w:val="993300"/>
          <w:sz w:val="16"/>
          <w:szCs w:val="16"/>
        </w:rPr>
      </w:pPr>
    </w:p>
    <w:sdt>
      <w:sdtPr>
        <w:rPr>
          <w:b w:val="0"/>
          <w:color w:val="9933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3A5851" w:rsidRDefault="000F69FA" w:rsidP="00D31709">
          <w:pPr>
            <w:spacing w:before="0" w:after="0" w:line="276" w:lineRule="auto"/>
            <w:jc w:val="both"/>
            <w:rPr>
              <w:b w:val="0"/>
              <w:color w:val="993300"/>
              <w:sz w:val="16"/>
              <w:szCs w:val="16"/>
            </w:rPr>
          </w:pPr>
          <w:r w:rsidRPr="003A5851">
            <w:rPr>
              <w:b w:val="0"/>
              <w:color w:val="993300"/>
              <w:sz w:val="16"/>
              <w:szCs w:val="16"/>
            </w:rPr>
            <w:t xml:space="preserve">Váš konzultant: </w:t>
          </w:r>
        </w:p>
        <w:p w:rsidR="00495077" w:rsidRPr="003A5851" w:rsidRDefault="00495077" w:rsidP="00D31709">
          <w:pPr>
            <w:spacing w:before="0" w:after="0" w:line="276" w:lineRule="auto"/>
            <w:jc w:val="both"/>
            <w:rPr>
              <w:b w:val="0"/>
              <w:color w:val="993300"/>
              <w:sz w:val="16"/>
              <w:szCs w:val="16"/>
            </w:rPr>
          </w:pPr>
        </w:p>
        <w:p w:rsidR="00093E63" w:rsidRPr="003A5851" w:rsidRDefault="00093E63" w:rsidP="00D31709">
          <w:pPr>
            <w:spacing w:before="0" w:after="0" w:line="276" w:lineRule="auto"/>
            <w:jc w:val="both"/>
            <w:rPr>
              <w:b w:val="0"/>
              <w:color w:val="993300"/>
              <w:sz w:val="16"/>
              <w:szCs w:val="16"/>
            </w:rPr>
          </w:pPr>
        </w:p>
        <w:p w:rsidR="000F69FA" w:rsidRPr="003A5851" w:rsidRDefault="00952641" w:rsidP="00D31709">
          <w:pPr>
            <w:spacing w:before="0" w:after="0" w:line="276" w:lineRule="auto"/>
            <w:jc w:val="both"/>
            <w:rPr>
              <w:b w:val="0"/>
              <w:color w:val="993300"/>
              <w:sz w:val="16"/>
              <w:szCs w:val="16"/>
            </w:rPr>
          </w:pPr>
        </w:p>
        <w:bookmarkEnd w:id="0" w:displacedByCustomXml="next"/>
      </w:sdtContent>
    </w:sdt>
    <w:sectPr w:rsidR="000F69FA" w:rsidRPr="003A585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1" w:rsidRDefault="00952641" w:rsidP="00F4420D">
      <w:pPr>
        <w:spacing w:after="0"/>
      </w:pPr>
      <w:r>
        <w:separator/>
      </w:r>
    </w:p>
  </w:endnote>
  <w:endnote w:type="continuationSeparator" w:id="0">
    <w:p w:rsidR="00952641" w:rsidRDefault="00952641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52641" w:rsidRPr="00952641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52641" w:rsidRPr="00952641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1" w:rsidRDefault="00952641" w:rsidP="00F4420D">
      <w:pPr>
        <w:spacing w:after="0"/>
      </w:pPr>
      <w:r>
        <w:separator/>
      </w:r>
    </w:p>
  </w:footnote>
  <w:footnote w:type="continuationSeparator" w:id="0">
    <w:p w:rsidR="00952641" w:rsidRDefault="00952641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5C" w:rsidRPr="000B095C" w:rsidRDefault="000B095C" w:rsidP="000B095C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0B095C">
      <w:rPr>
        <w:bCs/>
        <w:color w:val="A6A6A6" w:themeColor="background1" w:themeShade="A6"/>
        <w:sz w:val="16"/>
        <w:szCs w:val="16"/>
      </w:rPr>
      <w:t>Obchodný prípad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128D630" wp14:editId="26ADD378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54"/>
    <w:multiLevelType w:val="multilevel"/>
    <w:tmpl w:val="448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164"/>
    <w:multiLevelType w:val="multilevel"/>
    <w:tmpl w:val="83C49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d3ONTZ8Duz8BvWp6OLjo2tE4kY=" w:salt="VbLdsARU9RV80a2jwftq+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B095C"/>
    <w:rsid w:val="000F64AE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50405"/>
    <w:rsid w:val="0028147B"/>
    <w:rsid w:val="002A1692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A5851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6F37F4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52641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1174C"/>
    <w:rsid w:val="00B36300"/>
    <w:rsid w:val="00B42E77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31709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D31709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D31709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D91FD6"/>
    <w:rsid w:val="00DE406D"/>
    <w:rsid w:val="00E01A06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FB9AD-E5A8-4853-9049-8B3D049E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Obchodný prípad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Obchodný prípad</dc:title>
  <dc:creator>Milena Mrvová</dc:creator>
  <cp:lastModifiedBy>Milena Mrvová</cp:lastModifiedBy>
  <cp:revision>9</cp:revision>
  <cp:lastPrinted>2013-03-28T23:26:00Z</cp:lastPrinted>
  <dcterms:created xsi:type="dcterms:W3CDTF">2013-03-28T23:08:00Z</dcterms:created>
  <dcterms:modified xsi:type="dcterms:W3CDTF">2013-03-28T23:26:00Z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