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55266A" w:rsidRDefault="00357DD7" w:rsidP="0095065F">
      <w:pPr>
        <w:spacing w:before="0" w:after="0"/>
        <w:rPr>
          <w:color w:val="008000"/>
          <w:sz w:val="19"/>
          <w:szCs w:val="19"/>
        </w:rPr>
      </w:pPr>
    </w:p>
    <w:p w:rsidR="006203D3" w:rsidRPr="0055266A" w:rsidRDefault="006203D3" w:rsidP="0095065F">
      <w:pPr>
        <w:spacing w:before="0" w:after="0"/>
        <w:rPr>
          <w:color w:val="008000"/>
          <w:sz w:val="19"/>
          <w:szCs w:val="19"/>
        </w:rPr>
      </w:pPr>
    </w:p>
    <w:p w:rsidR="000445F4" w:rsidRPr="0055266A" w:rsidRDefault="000445F4" w:rsidP="0095065F">
      <w:pPr>
        <w:spacing w:before="0" w:after="0"/>
        <w:rPr>
          <w:color w:val="008000"/>
          <w:sz w:val="19"/>
          <w:szCs w:val="19"/>
        </w:rPr>
      </w:pPr>
    </w:p>
    <w:p w:rsidR="000445F4" w:rsidRPr="0055266A" w:rsidRDefault="000445F4" w:rsidP="0095065F">
      <w:pPr>
        <w:spacing w:before="0" w:after="0"/>
        <w:rPr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center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Stratégia energetickej efektívnosti a Akčný plán pre udržateľnú energiu.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Ide o jeden alebo viacero koncepčných dokumentov (samostatne môže byť spracovaná napríklad stratégia znižovania emisie skleníkových plynov v doprave), týkajúcich sa troch hlavných oblastí:</w:t>
      </w: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</w:p>
    <w:p w:rsidR="000445F4" w:rsidRPr="0055266A" w:rsidRDefault="000445F4" w:rsidP="00850925">
      <w:pPr>
        <w:pStyle w:val="Odsekzoznamu"/>
        <w:numPr>
          <w:ilvl w:val="0"/>
          <w:numId w:val="2"/>
        </w:num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energetickej efektívnosti (resp. Znižovanie spotreby energie)</w:t>
      </w:r>
    </w:p>
    <w:p w:rsidR="00850925" w:rsidRPr="0055266A" w:rsidRDefault="00850925" w:rsidP="00850925">
      <w:pPr>
        <w:pStyle w:val="Odsekzoznamu"/>
        <w:spacing w:before="0" w:after="0"/>
        <w:ind w:left="360"/>
        <w:jc w:val="both"/>
        <w:rPr>
          <w:color w:val="008000"/>
          <w:sz w:val="19"/>
          <w:szCs w:val="19"/>
        </w:rPr>
      </w:pPr>
    </w:p>
    <w:p w:rsidR="000445F4" w:rsidRPr="0055266A" w:rsidRDefault="000445F4" w:rsidP="00850925">
      <w:pPr>
        <w:pStyle w:val="Odsekzoznamu"/>
        <w:numPr>
          <w:ilvl w:val="0"/>
          <w:numId w:val="2"/>
        </w:num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zníženiu emisií CO2</w:t>
      </w:r>
    </w:p>
    <w:p w:rsidR="00850925" w:rsidRPr="0055266A" w:rsidRDefault="00850925" w:rsidP="00850925">
      <w:pPr>
        <w:spacing w:before="0" w:after="0"/>
        <w:jc w:val="both"/>
        <w:rPr>
          <w:color w:val="008000"/>
          <w:sz w:val="19"/>
          <w:szCs w:val="19"/>
        </w:rPr>
      </w:pPr>
    </w:p>
    <w:p w:rsidR="000445F4" w:rsidRPr="0055266A" w:rsidRDefault="000445F4" w:rsidP="00850925">
      <w:pPr>
        <w:pStyle w:val="Odsekzoznamu"/>
        <w:numPr>
          <w:ilvl w:val="0"/>
          <w:numId w:val="2"/>
        </w:num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zvýšeniu podielu obnoviteľných zdrojov energie na výrobe elektrickej energie, tepla a chladu na úrovni obce, mesta alebo regiónu.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Spracovanie týchto koncepčných dokumentov v obci, meste alebo VÚC nadväzuje na legislatívnu povinnosť obcí nad 2500 obyvateľov mať spracovanú koncepciu rozvoja obce v oblasti tepelnej energetiky (vyplýva zo zákona o tepelnej energetike) a otvára dvere pre celú paletu podporných finančných nástrojov Európskej únie, štrukturálnym fondov a iným zdrojom prostriedkov pre financovanie projektov v oblasti modernizácie verejných a súkromných objektov za účelom dosiahnutia energetickej hospodárnosti, výstavbu nových obnoviteľných zdrojov elektrickej energie, tepla a chladu a ich využitie na miestnej úrovni, zníženie emisií CO2 vo verejnej doprave a podobne, kde je povinnou prílohou žiadosti.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 xml:space="preserve">Osnovou pre spracovanie takýchto dokumentov je metodický pokyn Ministerstva hospodárstva SR v nadväznosti na zákon o tepelnej energetike a príručka pre vypracovanie Akčného plánu pre udržateľnú energiu a východiskovú inventarizáciu emisií z dielne Európskej únie. 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 xml:space="preserve">Príprava Akčného plánu trvalo udržateľnej energetiky je jednou z podmienok pre vstup miest a obcí do Paktu starostov, a má zahŕňať cieľ pre zníženie emisií CO2 o minimálne 20% do roku 2020. Mestá a obce môžu požiadať o technickú pomoc pri vypracúvaní tohto akčného plánu cez program IEE II, ktorý ich môže hradiť až do výšky 100%. V súčasnosti sú v Pakte starostov zapojené iba dve slovenské mestá – Nitra a Moldava nad Bodvou (z celkového počtu 2181 zapojených miest a obcí v rámci EU). 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Európska únia prijala 9. marca 2007 Energetickú a klimatickú politiku „Energia pre meniaci sa svet“, ktorý ju jednostranne zaväzuje znížiť do roku 2020 emisie CO o 20 %, ako výsledok 20-percentného nárastu energetickej efektívnosti a 20-percentného podielu energie z obnoviteľných zdrojov v skladbe energetických zdrojov. Akčný plán Európskej únie pre energetickú efektívnosť uvádza ako prioritu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spustenie iniciatívy ‘Dohovor primátorov a starostov’, keďže obce a mestá sú priamo a nepriamo zodpovedné (prostredníctvom spotrebných tovarov a služieb) za viac ako polovicu emisií skleníkových plynov pochádzajúcich z využívania energie na ľudskú činnosť. Cieľom je, aby miestne a regionálne samosprávy v celej Európe obmedzili emisie znečisťujúcich látok spôsobujúcich globálne otepľovanie prostredníctvom programov energetickej efektívnosti, ktoré zahŕňajú aj trvalo udržateľnú mestskú mobilitu, a prostredníctvom podpory obnoviteľných zdrojov energie,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Úlohy miestnych samospráv podľa Dohovoru starostov a primátorov (www.eumayors.eu):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1. Úlohy miestnych samospráv</w:t>
      </w:r>
    </w:p>
    <w:p w:rsidR="00850925" w:rsidRPr="0055266A" w:rsidRDefault="00850925" w:rsidP="000445F4">
      <w:pPr>
        <w:spacing w:before="0" w:after="0"/>
        <w:jc w:val="both"/>
        <w:rPr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Opatrenia v oblasti energetickej hospodárnosti, projekty týkajúce sa energie z obnoviteľných zdrojov a iné činnosti súvisiace s udržateľnou energetikou môžu byť zavedené v rozličných oblastiach činnosti miestnych a regionálnych samospráv: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• spotrebiteľ a poskytovateľ služieb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Miestne samosprávy využívajú množstvo budov, ktoré majú vysokú spotrebu energie napr. Na vykurovanie a osvetlenie. Zavedením programov a činností na šetrenie energiou vo verejných budovách možno dosiahnuť významné úspory.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6E0930" w:rsidRDefault="006E0930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Miestne a regionálne samosprávy taktiež poskytujú energeticky náročné služby, ako sú verejná doprava, verejné osvetlenie, pričom tu existuje priestor na zlepšenie. Dokonca aj v prípadoch, keď majú orgány na tieto služby iných zmluvných poskytovateľov, opatrenia na znižovanie spotreby energie možno vykonať prostredníctvom verejného obstarávania a zmlúv o poskytovaní služieb.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• plánovací a regulačný orgán, developer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Väčšina miestnych a regionálnych samospráv je zodpovedná za územné plánovanie a organizáciu dopravného systému. Strategické rozhodnutia týkajúce sa mestského rozvoja (napr. v oblasti obmedzenia živelného rozširovania sa miest), môžu znížiť spotrebu energie v doprave.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Miestne a regionálne samosprávy často pôsobia ako regulačný orgán, napr. stanovujú normy v oblasti energetickej účinnosti alebo povinnosť nainštalovať v nových budovách zariadenia, ktoré využívajú obnoviteľné zdroje energie.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• poradca, stimulátor a vzor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Miestne a regionálne orgány môžu napomôcť pri informovaní a motivovaní občanov, podnikov a iných miestnych aktérov v oblasti efektívnejšieho využívania energie. Aktivity zamerané na zvyšovanie informovanosti sú dôležité pre zapojenie celej komunity do podpory politiky trvalo udržateľného vyžívania energie. Deti sú dôležití adresáti informácii o úspore energie a využívaní energie z obnoviteľných zdrojov: to, s čím sa oboznámia, budú využívať aj mimo školy. Je tiež dôležité, aby samospráva išla príkladom a zohrávala vedúcu úlohu v aktivitách v oblasti efektívneho využívania energie.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• producent a dodávateľ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Miestne a regionálne samosprávy môžu podporovať miestnu výrobu energie a využívanie energie z obnoviteľných zdrojov. Ako príklady môžu slúžiť kombinovaná výroba elektriny a tepla či centrálne zásobovanie teplom, pri ktorom sa ako palivo využíva biomasa. Miestne a regionálne orgány môžu tiež podporovať občanov, aby realizovali projekty v oblasti využívania energie z obnoviteľ</w:t>
      </w:r>
      <w:r w:rsidR="00850925" w:rsidRPr="0055266A">
        <w:rPr>
          <w:b w:val="0"/>
          <w:color w:val="008000"/>
          <w:sz w:val="19"/>
          <w:szCs w:val="19"/>
        </w:rPr>
        <w:t>ných zdrojov prostredníctvom fi</w:t>
      </w:r>
      <w:r w:rsidRPr="0055266A">
        <w:rPr>
          <w:b w:val="0"/>
          <w:color w:val="008000"/>
          <w:sz w:val="19"/>
          <w:szCs w:val="19"/>
        </w:rPr>
        <w:t>nančnej podpory z miestnych podporných schém.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850925" w:rsidRPr="0055266A" w:rsidRDefault="00850925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2. Vzory výnimočnosti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850925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Vzory výnimočnosti sú defi</w:t>
      </w:r>
      <w:r w:rsidR="000445F4" w:rsidRPr="0055266A">
        <w:rPr>
          <w:b w:val="0"/>
          <w:color w:val="008000"/>
          <w:sz w:val="19"/>
          <w:szCs w:val="19"/>
        </w:rPr>
        <w:t>nované ako iniciatívy, programy, produkty či služby ktoré predstavujú celosvetový model úspešných koncepcií rozvoja trvalo udržateľnej energie v podmienkach miest. Nositelia Vzorov výnimočných prostredníctvom Dohovoru vyjadrujú ochotu vymieňať si skúsenosti a pomáhať mestám pri realizácii podobných postupov v prípade, že sú vhodné a výhodné a zaväzujú sa uľahčiť odovzdávanie know-how prostredníctvom šírenia informácií, vrátane usmernení, účasti na podujatiach a bežnej spolupráce v rámci Dohovoru vo všeobecnosti.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color w:val="008000"/>
          <w:sz w:val="19"/>
          <w:szCs w:val="19"/>
        </w:rPr>
      </w:pPr>
      <w:r w:rsidRPr="0055266A">
        <w:rPr>
          <w:color w:val="008000"/>
          <w:sz w:val="19"/>
          <w:szCs w:val="19"/>
        </w:rPr>
        <w:t>3. Podporné štruktúry</w:t>
      </w: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0445F4" w:rsidRPr="0055266A" w:rsidRDefault="000445F4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  <w:r w:rsidRPr="0055266A">
        <w:rPr>
          <w:b w:val="0"/>
          <w:color w:val="008000"/>
          <w:sz w:val="19"/>
          <w:szCs w:val="19"/>
        </w:rPr>
        <w:t>Dohovor primátorov a starostov je otvorený pre všetky mestá a obce v Európe. Tie mestá a obce, ktoré kvôli svojej veľkosti nemajú zdroje na prípravu inventára emisii alebo na vypracovanie Akčného plánu by mali byť podporované samosprávami, ktoré takéto kapacity a politickú vôľu majú. Týmito podpornými štruktúrami môžu byť regióny, okresy, provincie, aglomerácie, územia NUTS III alebo väčšie mestá. Iný typ podporných štruktúr predstavujú siete ale</w:t>
      </w:r>
      <w:r w:rsidR="001712B0" w:rsidRPr="0055266A">
        <w:rPr>
          <w:b w:val="0"/>
          <w:color w:val="008000"/>
          <w:sz w:val="19"/>
          <w:szCs w:val="19"/>
        </w:rPr>
        <w:t>bo zduženia miest, obcí či regió</w:t>
      </w:r>
      <w:r w:rsidRPr="0055266A">
        <w:rPr>
          <w:b w:val="0"/>
          <w:color w:val="008000"/>
          <w:sz w:val="19"/>
          <w:szCs w:val="19"/>
        </w:rPr>
        <w:t>nov. Každú podpornú štruktúru explicitne uznáva Európska komisia ako kľúčového aktéra Dohovoru. Miera zapojenia do Dohovoru, ako aj osobitné podmienky tohto zapojenia, vrátane rozhodovacích právomocí budú spresnené v osobitnej písomnej dohode.</w:t>
      </w:r>
    </w:p>
    <w:p w:rsidR="0095065F" w:rsidRPr="0055266A" w:rsidRDefault="0095065F" w:rsidP="000445F4">
      <w:pPr>
        <w:spacing w:before="0" w:after="0"/>
        <w:jc w:val="both"/>
        <w:rPr>
          <w:b w:val="0"/>
          <w:color w:val="008000"/>
          <w:sz w:val="19"/>
          <w:szCs w:val="19"/>
        </w:rPr>
      </w:pPr>
    </w:p>
    <w:p w:rsidR="0095065F" w:rsidRPr="0055266A" w:rsidRDefault="0095065F" w:rsidP="0095065F">
      <w:pPr>
        <w:spacing w:before="0" w:after="0"/>
        <w:rPr>
          <w:color w:val="008000"/>
          <w:sz w:val="16"/>
          <w:szCs w:val="16"/>
        </w:rPr>
      </w:pPr>
    </w:p>
    <w:p w:rsidR="00150353" w:rsidRPr="0055266A" w:rsidRDefault="00E169A8" w:rsidP="001F4AB6">
      <w:pPr>
        <w:spacing w:before="0" w:after="0" w:line="276" w:lineRule="auto"/>
        <w:rPr>
          <w:rStyle w:val="Hypertextovprepojenie"/>
          <w:color w:val="008000"/>
          <w:sz w:val="16"/>
          <w:szCs w:val="16"/>
        </w:rPr>
      </w:pPr>
      <w:r w:rsidRPr="0055266A">
        <w:rPr>
          <w:color w:val="008000"/>
          <w:sz w:val="16"/>
          <w:szCs w:val="16"/>
        </w:rPr>
        <w:t xml:space="preserve">verejne sprístupnené dielo MEDIA COELI </w:t>
      </w:r>
      <w:r w:rsidRPr="0055266A">
        <w:rPr>
          <w:color w:val="008000"/>
          <w:sz w:val="16"/>
          <w:szCs w:val="16"/>
          <w:vertAlign w:val="superscript"/>
        </w:rPr>
        <w:t>®</w:t>
      </w:r>
      <w:r w:rsidRPr="0055266A">
        <w:rPr>
          <w:color w:val="008000"/>
          <w:sz w:val="16"/>
          <w:szCs w:val="16"/>
        </w:rPr>
        <w:t xml:space="preserve"> podmienky: </w:t>
      </w:r>
      <w:hyperlink r:id="rId10" w:history="1">
        <w:r w:rsidR="00AE59CA" w:rsidRPr="0055266A">
          <w:rPr>
            <w:rStyle w:val="Hypertextovprepojenie"/>
            <w:color w:val="008000"/>
            <w:sz w:val="16"/>
            <w:szCs w:val="16"/>
          </w:rPr>
          <w:t>www.mediacoeli.sk</w:t>
        </w:r>
      </w:hyperlink>
    </w:p>
    <w:p w:rsidR="001F4AB6" w:rsidRPr="0055266A" w:rsidRDefault="001F4AB6" w:rsidP="001F4AB6">
      <w:pPr>
        <w:spacing w:before="0" w:after="0" w:line="276" w:lineRule="auto"/>
        <w:rPr>
          <w:color w:val="008000"/>
          <w:sz w:val="19"/>
          <w:szCs w:val="19"/>
        </w:rPr>
      </w:pPr>
    </w:p>
    <w:sdt>
      <w:sdtPr>
        <w:rPr>
          <w:color w:val="008000"/>
          <w:sz w:val="19"/>
          <w:szCs w:val="19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55266A" w:rsidRDefault="000F69FA" w:rsidP="001F4AB6">
          <w:pPr>
            <w:spacing w:before="0" w:after="0" w:line="276" w:lineRule="auto"/>
            <w:rPr>
              <w:color w:val="008000"/>
              <w:sz w:val="19"/>
              <w:szCs w:val="19"/>
            </w:rPr>
          </w:pPr>
          <w:r w:rsidRPr="0055266A">
            <w:rPr>
              <w:color w:val="008000"/>
              <w:sz w:val="19"/>
              <w:szCs w:val="19"/>
            </w:rPr>
            <w:t xml:space="preserve">Váš konzultant: </w:t>
          </w:r>
        </w:p>
        <w:p w:rsidR="00495077" w:rsidRPr="0055266A" w:rsidRDefault="00495077" w:rsidP="001F4AB6">
          <w:pPr>
            <w:spacing w:before="0" w:after="0" w:line="276" w:lineRule="auto"/>
            <w:rPr>
              <w:color w:val="008000"/>
              <w:sz w:val="19"/>
              <w:szCs w:val="19"/>
            </w:rPr>
          </w:pPr>
        </w:p>
        <w:p w:rsidR="00093E63" w:rsidRPr="0055266A" w:rsidRDefault="00093E63" w:rsidP="001F4AB6">
          <w:pPr>
            <w:spacing w:before="0" w:after="0" w:line="276" w:lineRule="auto"/>
            <w:rPr>
              <w:color w:val="008000"/>
              <w:sz w:val="19"/>
              <w:szCs w:val="19"/>
            </w:rPr>
          </w:pPr>
        </w:p>
        <w:p w:rsidR="000F69FA" w:rsidRPr="0055266A" w:rsidRDefault="00AF79A2" w:rsidP="001F4AB6">
          <w:pPr>
            <w:spacing w:before="0" w:after="0" w:line="276" w:lineRule="auto"/>
            <w:rPr>
              <w:color w:val="008000"/>
              <w:sz w:val="19"/>
              <w:szCs w:val="19"/>
            </w:rPr>
          </w:pPr>
        </w:p>
        <w:bookmarkEnd w:id="0" w:displacedByCustomXml="next"/>
      </w:sdtContent>
    </w:sdt>
    <w:sectPr w:rsidR="000F69FA" w:rsidRPr="0055266A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A2" w:rsidRDefault="00AF79A2" w:rsidP="00F4420D">
      <w:pPr>
        <w:spacing w:after="0"/>
      </w:pPr>
      <w:r>
        <w:separator/>
      </w:r>
    </w:p>
  </w:endnote>
  <w:endnote w:type="continuationSeparator" w:id="0">
    <w:p w:rsidR="00AF79A2" w:rsidRDefault="00AF79A2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AF79A2" w:rsidRPr="00AF79A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AF79A2" w:rsidRPr="00AF79A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A2" w:rsidRDefault="00AF79A2" w:rsidP="00F4420D">
      <w:pPr>
        <w:spacing w:after="0"/>
      </w:pPr>
      <w:r>
        <w:separator/>
      </w:r>
    </w:p>
  </w:footnote>
  <w:footnote w:type="continuationSeparator" w:id="0">
    <w:p w:rsidR="00AF79A2" w:rsidRDefault="00AF79A2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0445F4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Akčný plán pre udržateľnú energiu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1A3A294" wp14:editId="0DA0F3A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0FD5"/>
    <w:multiLevelType w:val="multilevel"/>
    <w:tmpl w:val="1AC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D1865"/>
    <w:multiLevelType w:val="hybridMultilevel"/>
    <w:tmpl w:val="C0B807FC"/>
    <w:lvl w:ilvl="0" w:tplc="3F32CC0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zJ3/H1nUGXIJG8rQVF/JCPcrE8=" w:salt="a/jAARs+v9/gc4/mtW47C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445F4"/>
    <w:rsid w:val="00054332"/>
    <w:rsid w:val="00056D9E"/>
    <w:rsid w:val="000770D1"/>
    <w:rsid w:val="000928EF"/>
    <w:rsid w:val="00093E63"/>
    <w:rsid w:val="000F0735"/>
    <w:rsid w:val="000F69FA"/>
    <w:rsid w:val="00116E14"/>
    <w:rsid w:val="00135392"/>
    <w:rsid w:val="001454CE"/>
    <w:rsid w:val="00150353"/>
    <w:rsid w:val="00157167"/>
    <w:rsid w:val="00164B21"/>
    <w:rsid w:val="001712B0"/>
    <w:rsid w:val="00171F91"/>
    <w:rsid w:val="0018154F"/>
    <w:rsid w:val="001932A8"/>
    <w:rsid w:val="001C613D"/>
    <w:rsid w:val="001F4AB6"/>
    <w:rsid w:val="00241D19"/>
    <w:rsid w:val="00252E43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C38F3"/>
    <w:rsid w:val="004D5EC9"/>
    <w:rsid w:val="004E3C47"/>
    <w:rsid w:val="00504833"/>
    <w:rsid w:val="0052339A"/>
    <w:rsid w:val="00536A81"/>
    <w:rsid w:val="00542CC6"/>
    <w:rsid w:val="0055266A"/>
    <w:rsid w:val="005925B6"/>
    <w:rsid w:val="005A643E"/>
    <w:rsid w:val="005F1931"/>
    <w:rsid w:val="00602EF9"/>
    <w:rsid w:val="006203D3"/>
    <w:rsid w:val="00645C24"/>
    <w:rsid w:val="00673F90"/>
    <w:rsid w:val="00681C33"/>
    <w:rsid w:val="006B3A09"/>
    <w:rsid w:val="006B6987"/>
    <w:rsid w:val="006E0930"/>
    <w:rsid w:val="0072638E"/>
    <w:rsid w:val="00736B3E"/>
    <w:rsid w:val="007617E7"/>
    <w:rsid w:val="00787A94"/>
    <w:rsid w:val="007C3213"/>
    <w:rsid w:val="00804257"/>
    <w:rsid w:val="00850925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65C25"/>
    <w:rsid w:val="009715A2"/>
    <w:rsid w:val="00975E71"/>
    <w:rsid w:val="00976F00"/>
    <w:rsid w:val="00977888"/>
    <w:rsid w:val="009A5A3B"/>
    <w:rsid w:val="00A157B4"/>
    <w:rsid w:val="00A36AFE"/>
    <w:rsid w:val="00A46420"/>
    <w:rsid w:val="00AA5082"/>
    <w:rsid w:val="00AE59CA"/>
    <w:rsid w:val="00AF79A2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04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styleId="Odsekzoznamu">
    <w:name w:val="List Paragraph"/>
    <w:basedOn w:val="Normlny"/>
    <w:uiPriority w:val="34"/>
    <w:qFormat/>
    <w:rsid w:val="0004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B17DA"/>
    <w:rsid w:val="000D76FF"/>
    <w:rsid w:val="002B41C1"/>
    <w:rsid w:val="00670F02"/>
    <w:rsid w:val="00677726"/>
    <w:rsid w:val="00717489"/>
    <w:rsid w:val="0086398C"/>
    <w:rsid w:val="00A3700D"/>
    <w:rsid w:val="00B4208D"/>
    <w:rsid w:val="00C2219B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1983F-1BF0-4C0C-85AA-996A1E0D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Stratégia energetickej efektívnosti a Akčný plán pre udržateľnú energiu.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Stratégia energetickej efektívnosti a Akčný plán pre udržateľnú energiu.</dc:title>
  <dc:creator>MEDIA COELI ®</dc:creator>
  <cp:lastModifiedBy>Milena Mrvová</cp:lastModifiedBy>
  <cp:revision>11</cp:revision>
  <cp:lastPrinted>2013-01-19T06:18:00Z</cp:lastPrinted>
  <dcterms:created xsi:type="dcterms:W3CDTF">2013-01-16T08:10:00Z</dcterms:created>
  <dcterms:modified xsi:type="dcterms:W3CDTF">2013-01-19T06:24:00Z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