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663DF2" w:rsidRDefault="00357DD7" w:rsidP="007024DB">
      <w:pPr>
        <w:spacing w:before="0" w:after="0"/>
        <w:jc w:val="both"/>
        <w:rPr>
          <w:b w:val="0"/>
          <w:color w:val="842F73" w:themeColor="text2" w:themeShade="BF"/>
          <w:sz w:val="20"/>
        </w:rPr>
      </w:pPr>
    </w:p>
    <w:p w:rsidR="0095065F" w:rsidRPr="00663DF2" w:rsidRDefault="0095065F" w:rsidP="007024DB">
      <w:pPr>
        <w:spacing w:before="0" w:after="0"/>
        <w:jc w:val="both"/>
        <w:rPr>
          <w:color w:val="842F73" w:themeColor="text2" w:themeShade="BF"/>
          <w:sz w:val="20"/>
        </w:rPr>
      </w:pPr>
    </w:p>
    <w:p w:rsidR="00535445" w:rsidRPr="00663DF2" w:rsidRDefault="00535445" w:rsidP="007024DB">
      <w:pPr>
        <w:spacing w:before="0" w:after="0"/>
        <w:jc w:val="both"/>
        <w:rPr>
          <w:b w:val="0"/>
          <w:color w:val="842F73" w:themeColor="text2" w:themeShade="BF"/>
          <w:sz w:val="20"/>
        </w:rPr>
      </w:pPr>
    </w:p>
    <w:p w:rsidR="00BB0867" w:rsidRPr="00663DF2" w:rsidRDefault="00BB0867" w:rsidP="007024DB">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Vysvetlenie pojmu Póly rastu.</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Obce boli zoradené do skupín podľa významu a ich lokalizácie v sídelnom systéme. Vyšpecifikovali sa inovačné póly rastu, záujmové územie inovačných pólov rastu a kohézne póly rastu nasledovne. Pri stanovovaní inovačných pólov rastu sa vychádzalo z celoštátnej územnoplánovacej dokumentácie Koncepcia územného rozvoja Slovenska 2001 a správneho členenia SR. Celkový počet hodnotených obcí SR bol 2 891. Celkový počet hodnotených obcí SR mimo Bratislavského kraja bol 2 818.</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1. inovačné póly rastu</w:t>
      </w:r>
      <w:r w:rsidRPr="00663DF2">
        <w:rPr>
          <w:b w:val="0"/>
          <w:color w:val="842F73" w:themeColor="text2" w:themeShade="BF"/>
          <w:sz w:val="20"/>
        </w:rPr>
        <w:t xml:space="preserve"> sa hierarchicky členia na:</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centrum osídlenia celoštátneho až medzinárodného významu (krajské mesto)</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centrum osídlenia regionálneho významu v rámci jadrového pásma ťažiska osídlenia 1.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centrum osídlenia regionálneho významu v rámci prímestského pásma ťažiska osídlenia 1.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xml:space="preserve">- centrum osídlenia regionálneho až nadregionálneho významu ako jadro ťažiska osídlenia </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2.stupňa</w:t>
      </w:r>
    </w:p>
    <w:p w:rsidR="00FD2472" w:rsidRPr="00663DF2" w:rsidRDefault="00FD2472" w:rsidP="00FD2472">
      <w:pPr>
        <w:numPr>
          <w:ilvl w:val="0"/>
          <w:numId w:val="2"/>
        </w:numPr>
        <w:spacing w:before="0" w:after="0"/>
        <w:jc w:val="both"/>
        <w:rPr>
          <w:b w:val="0"/>
          <w:color w:val="842F73" w:themeColor="text2" w:themeShade="BF"/>
          <w:sz w:val="20"/>
        </w:rPr>
      </w:pPr>
      <w:r w:rsidRPr="00663DF2">
        <w:rPr>
          <w:b w:val="0"/>
          <w:color w:val="842F73" w:themeColor="text2" w:themeShade="BF"/>
          <w:sz w:val="20"/>
        </w:rPr>
        <w:t>centrum osídlenia regionálneho významu</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2. záujmové územia inovačného pólu rastu</w:t>
      </w:r>
      <w:r w:rsidRPr="00663DF2">
        <w:rPr>
          <w:b w:val="0"/>
          <w:color w:val="842F73" w:themeColor="text2" w:themeShade="BF"/>
          <w:sz w:val="20"/>
        </w:rPr>
        <w:t xml:space="preserve"> </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Boli vymedzené na základe podkladov Koncepcie územného rozvoja Slovenska 2001 (KURS 2001), kde boli definované a vymedzené ťažiská osídlenia. Záujmové územia inovačných pólov rastu boli vymedzené okolo centier osídlenia celoštátneho až medzinárodného významu (krajské mesto) a okolo centier osídlenia regionálneho až nadregionálneho významu tvoriacich jadro ťažiska osídlenia 2. stupňa. Záujmové územie inovačného pólu rastu pozostáva z katastrálnych území jadrového a prímestského pásma ťažísk osídlenia 1. stupňa a ťažísk osídlenia 2. stupňa</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3. kohézne póly rastu</w:t>
      </w:r>
      <w:r w:rsidRPr="00663DF2">
        <w:rPr>
          <w:b w:val="0"/>
          <w:color w:val="842F73" w:themeColor="text2" w:themeShade="BF"/>
          <w:sz w:val="20"/>
        </w:rPr>
        <w:t xml:space="preserve"> </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Sa hierarchicky členia podľa svojej polohy v systéme osídlenia na: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mikroregionálne centrum ležiace v záujmovom území inovačného pólu rastu vymedzeného jadrovým pásmom ťažiska osídlenia 1.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mikroregionálne centrum ležiace v záujmovom území inovačného pólu rastu vymedzeného prímestským pásmom ťažiska osídlenia 1.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mikroregionálne centrum ležiace v záujmovom území inovačného pólu rastu vymedzeného ťažiskom osídlenia 2. stupňa</w:t>
      </w:r>
    </w:p>
    <w:p w:rsidR="00FD2472" w:rsidRPr="00663DF2" w:rsidRDefault="00FD2472" w:rsidP="00FD2472">
      <w:pPr>
        <w:numPr>
          <w:ilvl w:val="0"/>
          <w:numId w:val="3"/>
        </w:numPr>
        <w:spacing w:before="0" w:after="0"/>
        <w:jc w:val="both"/>
        <w:rPr>
          <w:b w:val="0"/>
          <w:color w:val="842F73" w:themeColor="text2" w:themeShade="BF"/>
          <w:sz w:val="20"/>
        </w:rPr>
      </w:pPr>
      <w:r w:rsidRPr="00663DF2">
        <w:rPr>
          <w:b w:val="0"/>
          <w:color w:val="842F73" w:themeColor="text2" w:themeShade="BF"/>
          <w:sz w:val="20"/>
        </w:rPr>
        <w:t>mikroregionálne centrum mimo záujmového územia inovačných pólov rastu</w:t>
      </w:r>
    </w:p>
    <w:p w:rsidR="00FD2472" w:rsidRPr="00663DF2" w:rsidRDefault="00FD2472" w:rsidP="00FD2472">
      <w:pPr>
        <w:numPr>
          <w:ilvl w:val="0"/>
          <w:numId w:val="3"/>
        </w:num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4. obce mimo inovačných a kohéznych pólov rastu</w:t>
      </w:r>
      <w:r w:rsidRPr="00663DF2">
        <w:rPr>
          <w:b w:val="0"/>
          <w:color w:val="842F73" w:themeColor="text2" w:themeShade="BF"/>
          <w:sz w:val="20"/>
        </w:rPr>
        <w:t xml:space="preserve"> </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sa členia podľa ich lokalizácie v systéme osídlenia na: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obec záujmového územia inovačného pólu rastu vymedzeného jadrovým pásmom ťažiska osídlenia 1.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obec záujmového územia inovačného pólu rastu vymedzeného prímestským pásmom ťažiska osídlenia 1.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obec záujmového územia inovačného pólu rastu vymedzeného ťažiskom osídlenia 2. stupňa</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obec v ostatnom území.</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Cs/>
          <w:color w:val="842F73" w:themeColor="text2" w:themeShade="BF"/>
          <w:sz w:val="20"/>
        </w:rPr>
      </w:pPr>
      <w:r w:rsidRPr="00663DF2">
        <w:rPr>
          <w:bCs/>
          <w:color w:val="842F73" w:themeColor="text2" w:themeShade="BF"/>
          <w:sz w:val="20"/>
        </w:rPr>
        <w:t>Kritériá výberu pólov rastu</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Navrhované obce ako inovačné a kohézne póly rastu boli vybraté na základe vstupných údajov a nasledovných kritérií:</w:t>
      </w:r>
    </w:p>
    <w:p w:rsidR="00FD2472" w:rsidRDefault="00FD2472" w:rsidP="00FD2472">
      <w:pPr>
        <w:spacing w:before="0" w:after="0"/>
        <w:jc w:val="both"/>
        <w:rPr>
          <w:b w:val="0"/>
          <w:color w:val="842F73" w:themeColor="text2" w:themeShade="BF"/>
          <w:sz w:val="20"/>
        </w:rPr>
      </w:pPr>
    </w:p>
    <w:p w:rsidR="00B167E8" w:rsidRDefault="00B167E8" w:rsidP="00FD2472">
      <w:pPr>
        <w:spacing w:before="0" w:after="0"/>
        <w:jc w:val="both"/>
        <w:rPr>
          <w:b w:val="0"/>
          <w:color w:val="842F73" w:themeColor="text2" w:themeShade="BF"/>
          <w:sz w:val="20"/>
        </w:rPr>
      </w:pPr>
    </w:p>
    <w:p w:rsidR="00B167E8" w:rsidRPr="00663DF2" w:rsidRDefault="00B167E8"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Inovačné póly rastu:</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krajské mesto</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mesto so sídlom obvodu</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mesto s bývalým sídlom okresu</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V SR sa v prvom návrhu vymedzilo 72 inovačných pólov rastu a bez Bratislavského kraja ich bolo 68. Zoznam inovačných pólov rastu sa na základe požiadaviek samosprávnych krajov doplnil a spolu sa tak vymedzilo 82 inovačných pólov rastu vrátane Bratislavského kraja a 78 inovačných pólov rastu mimo Bratislavského kraja.</w:t>
      </w:r>
    </w:p>
    <w:p w:rsidR="00FD2472" w:rsidRPr="00663DF2" w:rsidRDefault="00FD2472" w:rsidP="00FD2472">
      <w:pPr>
        <w:spacing w:before="0" w:after="0"/>
        <w:jc w:val="both"/>
        <w:rPr>
          <w:b w:val="0"/>
          <w:color w:val="842F73" w:themeColor="text2" w:themeShade="BF"/>
          <w:sz w:val="20"/>
        </w:rPr>
      </w:pPr>
    </w:p>
    <w:p w:rsidR="00BB0867" w:rsidRPr="00663DF2" w:rsidRDefault="00BB0867"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Cs/>
          <w:color w:val="842F73" w:themeColor="text2" w:themeShade="BF"/>
          <w:sz w:val="20"/>
        </w:rPr>
        <w:t>Kohézne póly rastu:</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obce v ktorých sa súčasne nachádza matričný úrad, spoločný obecný úrad, ZŠ typu 3, bolo bývalým strediskom osídlenia miestneho významu, je ZMOS zvažované ako sídlo spoločného obecného úradu (spolu 92 obcí)</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obce v ktorých sa nachádza ZŠ typu 3 a má viacej ako 100 žiakov (spolu 774 obcí)</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obce v ktorých sa nenachádza ZŠ typu 3 ale majú strednú školu (spolu 9 obcí)</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obce, ktoré nespĺňajú uvedené kritériá a sú väčšie ako 1500 obyvateľov v Prešovskom a Košickom kraji (spolu 17 obcí)</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Prienikom uvedených kritérií sa v prvom návrhu vymedzilo v SR spolu 802 kohéznych pólov rastu vrátane Bratislavského kraja. Počet takto vymedzených kohéznych pólov rastu mimo Bratislavského kraja bol 769 obcí. Zoznam kohéznych pólov rastu sa na základe požiadaviek samosprávnych krajov doplnil a spolu sa tak vymedzilo 891 kohéznych pólov rastu vrátane Bratislavského kraja a 858 kohéznych pólov rastu mimo Bratislavského kraja.</w:t>
      </w:r>
    </w:p>
    <w:p w:rsidR="00FD2472" w:rsidRPr="00663DF2" w:rsidRDefault="00FD2472" w:rsidP="00FD2472">
      <w:pPr>
        <w:spacing w:before="0" w:after="0"/>
        <w:jc w:val="both"/>
        <w:rPr>
          <w:b w:val="0"/>
          <w:color w:val="842F73" w:themeColor="text2" w:themeShade="BF"/>
          <w:sz w:val="20"/>
        </w:rPr>
      </w:pPr>
    </w:p>
    <w:p w:rsidR="00BB0867" w:rsidRPr="00663DF2" w:rsidRDefault="00BB0867" w:rsidP="00FD2472">
      <w:pPr>
        <w:spacing w:before="0" w:after="0"/>
        <w:jc w:val="both"/>
        <w:rPr>
          <w:b w:val="0"/>
          <w:color w:val="842F73" w:themeColor="text2" w:themeShade="BF"/>
          <w:sz w:val="20"/>
        </w:rPr>
      </w:pPr>
    </w:p>
    <w:p w:rsidR="00FD2472" w:rsidRPr="00663DF2" w:rsidRDefault="00FD2472" w:rsidP="00FD2472">
      <w:pPr>
        <w:spacing w:before="0" w:after="0"/>
        <w:jc w:val="both"/>
        <w:rPr>
          <w:bCs/>
          <w:color w:val="842F73" w:themeColor="text2" w:themeShade="BF"/>
          <w:sz w:val="20"/>
        </w:rPr>
      </w:pPr>
      <w:r w:rsidRPr="00663DF2">
        <w:rPr>
          <w:bCs/>
          <w:color w:val="842F73" w:themeColor="text2" w:themeShade="BF"/>
          <w:sz w:val="20"/>
        </w:rPr>
        <w:t>Obce, ktoré nie sú pólmi rastu v záujmovom území pólov rastu:</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obce nachádzajúce sa na území jadrového a prímestského pásma ťažísk osídlenia prvej úrovne</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 obce nachádzajúce sa na území ťažísk osídlenia druhej úrovne.</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Celkovo pôvodný zoznam vymedzil 412 obcí v SR, ktoré ležia v záujmovom území inovačných pólov rastu a ktoré nie sú ani inovačnými ani kohéznymi pólmi rastu. Mimo Bratislavského kraja bolo takýchto obcí spolu 390. Tento zoznam sa po dohode so samosprávnymi krajmi spresnil na 415 obcí v SR, ktoré ležia v záujmovom území inovačných pólov rastu. Mimo Bratislavského kraja bolo vymedzených 393 ležiacich v záujmovom území inovačných pólov rastu. Kohéznych pólov rastu ležiacich v záujmovom území inovačných pólov rastu je spolu 207 (mimo Bratislavského kraja). Spolu tak v záujmových územiach inovačných pólov rastu leží 600 obcí (mimo Bratislavského kraja).</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Cs/>
          <w:color w:val="842F73" w:themeColor="text2" w:themeShade="BF"/>
          <w:sz w:val="20"/>
        </w:rPr>
      </w:pPr>
      <w:r w:rsidRPr="00663DF2">
        <w:rPr>
          <w:bCs/>
          <w:color w:val="842F73" w:themeColor="text2" w:themeShade="BF"/>
          <w:sz w:val="20"/>
        </w:rPr>
        <w:t>Obce, ktoré nie sú pólmi rastu mimo záujmového územia inovačných pólov rastu:</w:t>
      </w:r>
    </w:p>
    <w:p w:rsidR="00FD2472" w:rsidRPr="00663DF2" w:rsidRDefault="00FD2472" w:rsidP="00FD2472">
      <w:pPr>
        <w:spacing w:before="0" w:after="0"/>
        <w:jc w:val="both"/>
        <w:rPr>
          <w:b w:val="0"/>
          <w:color w:val="842F73" w:themeColor="text2" w:themeShade="BF"/>
          <w:sz w:val="20"/>
        </w:rPr>
      </w:pP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Počet obcí, ktoré nie sú ani inovačnými ani kohéznymi pólmi rastu a ani neležia v záujmovom území inovačných pólov rastu je 1503. Mimo Bratislavského kraja je takýchto obcí 1489.</w:t>
      </w:r>
    </w:p>
    <w:p w:rsidR="00FD2472" w:rsidRPr="00663DF2" w:rsidRDefault="00FD2472" w:rsidP="00FD2472">
      <w:pPr>
        <w:spacing w:before="0" w:after="0"/>
        <w:jc w:val="both"/>
        <w:rPr>
          <w:b w:val="0"/>
          <w:color w:val="842F73" w:themeColor="text2" w:themeShade="BF"/>
          <w:sz w:val="20"/>
        </w:rPr>
      </w:pPr>
      <w:r w:rsidRPr="00663DF2">
        <w:rPr>
          <w:b w:val="0"/>
          <w:color w:val="842F73" w:themeColor="text2" w:themeShade="BF"/>
          <w:sz w:val="20"/>
        </w:rPr>
        <w:t>Obcí, ktoré nie sú ani inovačnými ani kohéznymi pólmi rastu bez ohľadu na ich lokalizáciu (aj tie, ktoré ležia v záujmovom území inovačných pólov rastu) je v SR 1918 a takýchto obcí mimo Bratislavského kraja je 1882. Poznámka: Počet obcí s počtom obyvateľov menším ako 1 000 je v SR spolu 1 946 a v SR mimo Bratislavského kraja je ich 1</w:t>
      </w:r>
      <w:r w:rsidR="003312FB" w:rsidRPr="00663DF2">
        <w:rPr>
          <w:b w:val="0"/>
          <w:color w:val="842F73" w:themeColor="text2" w:themeShade="BF"/>
          <w:sz w:val="20"/>
        </w:rPr>
        <w:t> </w:t>
      </w:r>
      <w:r w:rsidRPr="00663DF2">
        <w:rPr>
          <w:b w:val="0"/>
          <w:color w:val="842F73" w:themeColor="text2" w:themeShade="BF"/>
          <w:sz w:val="20"/>
        </w:rPr>
        <w:t>922.</w:t>
      </w:r>
    </w:p>
    <w:p w:rsidR="003312FB" w:rsidRPr="00663DF2" w:rsidRDefault="003312FB" w:rsidP="00FD2472">
      <w:pPr>
        <w:spacing w:before="0" w:after="0"/>
        <w:jc w:val="both"/>
        <w:rPr>
          <w:b w:val="0"/>
          <w:color w:val="842F73" w:themeColor="text2" w:themeShade="BF"/>
          <w:sz w:val="20"/>
        </w:rPr>
      </w:pPr>
    </w:p>
    <w:p w:rsidR="003312FB" w:rsidRPr="00663DF2" w:rsidRDefault="003312FB" w:rsidP="003312FB">
      <w:pPr>
        <w:spacing w:before="0" w:after="0"/>
        <w:jc w:val="both"/>
        <w:rPr>
          <w:b w:val="0"/>
          <w:color w:val="FF0000"/>
          <w:sz w:val="20"/>
        </w:rPr>
      </w:pPr>
      <w:hyperlink r:id="rId10" w:history="1">
        <w:r w:rsidRPr="00663DF2">
          <w:rPr>
            <w:rStyle w:val="Hypertextovprepojenie"/>
            <w:bCs/>
            <w:color w:val="FF0000"/>
            <w:sz w:val="20"/>
          </w:rPr>
          <w:t>Podrobný zoznam na stiahnutie</w:t>
        </w:r>
      </w:hyperlink>
      <w:r w:rsidRPr="00663DF2">
        <w:rPr>
          <w:bCs/>
          <w:color w:val="FF0000"/>
          <w:sz w:val="20"/>
        </w:rPr>
        <w:t>: na stránke</w:t>
      </w:r>
    </w:p>
    <w:p w:rsidR="003312FB" w:rsidRPr="00663DF2" w:rsidRDefault="003312FB" w:rsidP="00FD2472">
      <w:pPr>
        <w:spacing w:before="0" w:after="0"/>
        <w:jc w:val="both"/>
        <w:rPr>
          <w:b w:val="0"/>
          <w:color w:val="842F73" w:themeColor="text2" w:themeShade="BF"/>
          <w:sz w:val="20"/>
        </w:rPr>
      </w:pPr>
    </w:p>
    <w:p w:rsidR="00FD2472" w:rsidRPr="00663DF2" w:rsidRDefault="00FD2472" w:rsidP="007024DB">
      <w:pPr>
        <w:spacing w:before="0" w:after="0"/>
        <w:jc w:val="both"/>
        <w:rPr>
          <w:b w:val="0"/>
          <w:color w:val="842F73" w:themeColor="text2" w:themeShade="BF"/>
          <w:sz w:val="20"/>
        </w:rPr>
      </w:pPr>
    </w:p>
    <w:p w:rsidR="00150353" w:rsidRPr="00663DF2" w:rsidRDefault="00E169A8" w:rsidP="007024DB">
      <w:pPr>
        <w:spacing w:before="0" w:after="0" w:line="276" w:lineRule="auto"/>
        <w:jc w:val="both"/>
        <w:rPr>
          <w:rStyle w:val="Hypertextovprepojenie"/>
          <w:color w:val="842F73" w:themeColor="text2" w:themeShade="BF"/>
          <w:sz w:val="16"/>
          <w:szCs w:val="16"/>
        </w:rPr>
      </w:pPr>
      <w:r w:rsidRPr="00663DF2">
        <w:rPr>
          <w:color w:val="842F73" w:themeColor="text2" w:themeShade="BF"/>
          <w:sz w:val="16"/>
          <w:szCs w:val="16"/>
        </w:rPr>
        <w:t xml:space="preserve">verejne sprístupnené dielo MEDIA COELI </w:t>
      </w:r>
      <w:r w:rsidRPr="00663DF2">
        <w:rPr>
          <w:color w:val="842F73" w:themeColor="text2" w:themeShade="BF"/>
          <w:sz w:val="16"/>
          <w:szCs w:val="16"/>
          <w:vertAlign w:val="superscript"/>
        </w:rPr>
        <w:t>®</w:t>
      </w:r>
      <w:r w:rsidRPr="00663DF2">
        <w:rPr>
          <w:color w:val="842F73" w:themeColor="text2" w:themeShade="BF"/>
          <w:sz w:val="16"/>
          <w:szCs w:val="16"/>
        </w:rPr>
        <w:t xml:space="preserve"> podmienky: </w:t>
      </w:r>
      <w:hyperlink r:id="rId11" w:history="1">
        <w:r w:rsidR="00AE59CA" w:rsidRPr="00663DF2">
          <w:rPr>
            <w:rStyle w:val="Hypertextovprepojenie"/>
            <w:color w:val="842F73" w:themeColor="text2" w:themeShade="BF"/>
            <w:sz w:val="16"/>
            <w:szCs w:val="16"/>
          </w:rPr>
          <w:t>www.mediacoeli.sk</w:t>
        </w:r>
      </w:hyperlink>
    </w:p>
    <w:p w:rsidR="001F4AB6" w:rsidRPr="00663DF2" w:rsidRDefault="001F4AB6" w:rsidP="007024DB">
      <w:pPr>
        <w:spacing w:before="0" w:after="0" w:line="276" w:lineRule="auto"/>
        <w:jc w:val="both"/>
        <w:rPr>
          <w:color w:val="842F73" w:themeColor="text2" w:themeShade="BF"/>
          <w:sz w:val="16"/>
          <w:szCs w:val="16"/>
        </w:rPr>
      </w:pPr>
    </w:p>
    <w:sdt>
      <w:sdtPr>
        <w:rPr>
          <w:color w:val="842F73" w:themeColor="text2" w:themeShade="BF"/>
          <w:sz w:val="16"/>
          <w:szCs w:val="16"/>
        </w:rPr>
        <w:id w:val="1950342598"/>
        <w:placeholder>
          <w:docPart w:val="DefaultPlaceholder_1082065158"/>
        </w:placeholder>
      </w:sdtPr>
      <w:sdtEndPr>
        <w:rPr>
          <w:color w:val="842F73" w:themeColor="text2" w:themeShade="BF"/>
        </w:rPr>
      </w:sdtEndPr>
      <w:sdtContent>
        <w:bookmarkStart w:id="0" w:name="_GoBack" w:displacedByCustomXml="prev"/>
        <w:p w:rsidR="000F69FA" w:rsidRPr="00663DF2" w:rsidRDefault="000F69FA" w:rsidP="007024DB">
          <w:pPr>
            <w:spacing w:before="0" w:after="0" w:line="276" w:lineRule="auto"/>
            <w:jc w:val="both"/>
            <w:rPr>
              <w:color w:val="842F73" w:themeColor="text2" w:themeShade="BF"/>
              <w:sz w:val="16"/>
              <w:szCs w:val="16"/>
            </w:rPr>
          </w:pPr>
          <w:r w:rsidRPr="00663DF2">
            <w:rPr>
              <w:color w:val="842F73" w:themeColor="text2" w:themeShade="BF"/>
              <w:sz w:val="16"/>
              <w:szCs w:val="16"/>
            </w:rPr>
            <w:t xml:space="preserve">Váš konzultant: </w:t>
          </w:r>
        </w:p>
        <w:p w:rsidR="00495077" w:rsidRPr="00663DF2" w:rsidRDefault="00495077" w:rsidP="007024DB">
          <w:pPr>
            <w:spacing w:before="0" w:after="0" w:line="276" w:lineRule="auto"/>
            <w:jc w:val="both"/>
            <w:rPr>
              <w:color w:val="842F73" w:themeColor="text2" w:themeShade="BF"/>
              <w:sz w:val="16"/>
              <w:szCs w:val="16"/>
            </w:rPr>
          </w:pPr>
        </w:p>
        <w:p w:rsidR="00093E63" w:rsidRPr="00663DF2" w:rsidRDefault="00093E63" w:rsidP="007024DB">
          <w:pPr>
            <w:spacing w:before="0" w:after="0" w:line="276" w:lineRule="auto"/>
            <w:jc w:val="both"/>
            <w:rPr>
              <w:color w:val="842F73" w:themeColor="text2" w:themeShade="BF"/>
              <w:sz w:val="16"/>
              <w:szCs w:val="16"/>
            </w:rPr>
          </w:pPr>
        </w:p>
        <w:p w:rsidR="00FA7ECC" w:rsidRPr="00663DF2" w:rsidRDefault="00662F53" w:rsidP="00FA7ECC">
          <w:pPr>
            <w:spacing w:before="0" w:after="0" w:line="276" w:lineRule="auto"/>
            <w:jc w:val="both"/>
            <w:rPr>
              <w:color w:val="842F73" w:themeColor="text2" w:themeShade="BF"/>
              <w:sz w:val="16"/>
              <w:szCs w:val="16"/>
            </w:rPr>
          </w:pPr>
        </w:p>
        <w:bookmarkEnd w:id="0" w:displacedByCustomXml="next"/>
      </w:sdtContent>
    </w:sdt>
    <w:p w:rsidR="00FA7ECC" w:rsidRPr="00663DF2" w:rsidRDefault="00FA7ECC" w:rsidP="007024DB">
      <w:pPr>
        <w:spacing w:before="0" w:after="0" w:line="276" w:lineRule="auto"/>
        <w:jc w:val="both"/>
        <w:rPr>
          <w:b w:val="0"/>
          <w:color w:val="842F73" w:themeColor="text2" w:themeShade="BF"/>
          <w:sz w:val="16"/>
          <w:szCs w:val="16"/>
        </w:rPr>
      </w:pPr>
    </w:p>
    <w:sectPr w:rsidR="00FA7ECC" w:rsidRPr="00663DF2" w:rsidSect="006203D3">
      <w:headerReference w:type="default" r:id="rId12"/>
      <w:footerReference w:type="default" r:id="rId13"/>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53" w:rsidRDefault="00662F53" w:rsidP="00F4420D">
      <w:pPr>
        <w:spacing w:after="0"/>
      </w:pPr>
      <w:r>
        <w:separator/>
      </w:r>
    </w:p>
  </w:endnote>
  <w:endnote w:type="continuationSeparator" w:id="0">
    <w:p w:rsidR="00662F53" w:rsidRDefault="00662F53"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662F53" w:rsidRPr="00662F53">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662F53" w:rsidRPr="00662F53">
      <w:rPr>
        <w:b w:val="0"/>
        <w:noProof/>
        <w:color w:val="A6A6A6" w:themeColor="background1" w:themeShade="A6"/>
        <w:sz w:val="16"/>
        <w:szCs w:val="16"/>
      </w:rPr>
      <w:t>1</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53" w:rsidRDefault="00662F53" w:rsidP="00F4420D">
      <w:pPr>
        <w:spacing w:after="0"/>
      </w:pPr>
      <w:r>
        <w:separator/>
      </w:r>
    </w:p>
  </w:footnote>
  <w:footnote w:type="continuationSeparator" w:id="0">
    <w:p w:rsidR="00662F53" w:rsidRDefault="00662F53"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6C" w:rsidRPr="003E7B6C" w:rsidRDefault="003E7B6C" w:rsidP="003E7B6C">
    <w:pPr>
      <w:spacing w:before="0" w:after="0" w:line="276" w:lineRule="auto"/>
      <w:ind w:left="708" w:firstLine="708"/>
      <w:jc w:val="right"/>
      <w:rPr>
        <w:color w:val="A6A6A6" w:themeColor="background1" w:themeShade="A6"/>
        <w:sz w:val="16"/>
        <w:szCs w:val="16"/>
      </w:rPr>
    </w:pPr>
    <w:r w:rsidRPr="003E7B6C">
      <w:rPr>
        <w:bCs/>
        <w:color w:val="A6A6A6" w:themeColor="background1" w:themeShade="A6"/>
        <w:sz w:val="16"/>
        <w:szCs w:val="16"/>
      </w:rPr>
      <w:t>Vysvetlenie pojmu Póly rastu.</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2CD8F2F5" wp14:editId="19ED6C76">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BFB"/>
    <w:multiLevelType w:val="multilevel"/>
    <w:tmpl w:val="A9E0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F7BB9"/>
    <w:multiLevelType w:val="multilevel"/>
    <w:tmpl w:val="5690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140E9"/>
    <w:multiLevelType w:val="hybridMultilevel"/>
    <w:tmpl w:val="862E1A16"/>
    <w:lvl w:ilvl="0" w:tplc="3982B99E">
      <w:numFmt w:val="bullet"/>
      <w:lvlText w:val="-"/>
      <w:lvlJc w:val="left"/>
      <w:pPr>
        <w:ind w:left="720" w:hanging="360"/>
      </w:pPr>
      <w:rPr>
        <w:rFonts w:ascii="Verdana" w:eastAsiaTheme="minorHAnsi" w:hAnsi="Verdana"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BpHUSjYU37eH+YepYaxH/LdiYc=" w:salt="Gqtks1J8cfnZ5X6n0hC8T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7167"/>
    <w:rsid w:val="00164B21"/>
    <w:rsid w:val="00171F91"/>
    <w:rsid w:val="0018154F"/>
    <w:rsid w:val="001932A8"/>
    <w:rsid w:val="001F4AB6"/>
    <w:rsid w:val="00241D19"/>
    <w:rsid w:val="0028147B"/>
    <w:rsid w:val="00310D4D"/>
    <w:rsid w:val="003312FB"/>
    <w:rsid w:val="00336689"/>
    <w:rsid w:val="00336A09"/>
    <w:rsid w:val="00343F10"/>
    <w:rsid w:val="00353059"/>
    <w:rsid w:val="00355AA0"/>
    <w:rsid w:val="00357DD7"/>
    <w:rsid w:val="0036304F"/>
    <w:rsid w:val="0037703B"/>
    <w:rsid w:val="003A4705"/>
    <w:rsid w:val="003E7B6C"/>
    <w:rsid w:val="00460A9F"/>
    <w:rsid w:val="0047619C"/>
    <w:rsid w:val="00495077"/>
    <w:rsid w:val="004B073A"/>
    <w:rsid w:val="004B5637"/>
    <w:rsid w:val="004D5EC9"/>
    <w:rsid w:val="004E3C47"/>
    <w:rsid w:val="00504833"/>
    <w:rsid w:val="0052339A"/>
    <w:rsid w:val="00535445"/>
    <w:rsid w:val="00536A81"/>
    <w:rsid w:val="00542CC6"/>
    <w:rsid w:val="005925B6"/>
    <w:rsid w:val="005A643E"/>
    <w:rsid w:val="005F0051"/>
    <w:rsid w:val="00602EF9"/>
    <w:rsid w:val="006203D3"/>
    <w:rsid w:val="00645C24"/>
    <w:rsid w:val="00662F53"/>
    <w:rsid w:val="00663DF2"/>
    <w:rsid w:val="00673F90"/>
    <w:rsid w:val="00681C33"/>
    <w:rsid w:val="006A0E3C"/>
    <w:rsid w:val="006B6987"/>
    <w:rsid w:val="007024DB"/>
    <w:rsid w:val="0072638E"/>
    <w:rsid w:val="00736B3E"/>
    <w:rsid w:val="007617E7"/>
    <w:rsid w:val="00787A94"/>
    <w:rsid w:val="007C3213"/>
    <w:rsid w:val="00804257"/>
    <w:rsid w:val="00854341"/>
    <w:rsid w:val="00894C03"/>
    <w:rsid w:val="008B031E"/>
    <w:rsid w:val="008B6A15"/>
    <w:rsid w:val="008D6AAF"/>
    <w:rsid w:val="008E1621"/>
    <w:rsid w:val="008F1768"/>
    <w:rsid w:val="0090074C"/>
    <w:rsid w:val="00903B51"/>
    <w:rsid w:val="009270AE"/>
    <w:rsid w:val="009302C4"/>
    <w:rsid w:val="00933269"/>
    <w:rsid w:val="0095065F"/>
    <w:rsid w:val="009715A2"/>
    <w:rsid w:val="00975E71"/>
    <w:rsid w:val="00976F00"/>
    <w:rsid w:val="00977888"/>
    <w:rsid w:val="009A5A3B"/>
    <w:rsid w:val="00A157B4"/>
    <w:rsid w:val="00A36AFE"/>
    <w:rsid w:val="00AA5082"/>
    <w:rsid w:val="00AE59CA"/>
    <w:rsid w:val="00B167E8"/>
    <w:rsid w:val="00B36300"/>
    <w:rsid w:val="00B43241"/>
    <w:rsid w:val="00B96255"/>
    <w:rsid w:val="00BB0867"/>
    <w:rsid w:val="00BE4284"/>
    <w:rsid w:val="00BF6324"/>
    <w:rsid w:val="00BF7C27"/>
    <w:rsid w:val="00C84B9F"/>
    <w:rsid w:val="00C869DB"/>
    <w:rsid w:val="00CA4707"/>
    <w:rsid w:val="00CD484A"/>
    <w:rsid w:val="00CF3C51"/>
    <w:rsid w:val="00D0790B"/>
    <w:rsid w:val="00D10615"/>
    <w:rsid w:val="00D51B96"/>
    <w:rsid w:val="00D80350"/>
    <w:rsid w:val="00DB0B54"/>
    <w:rsid w:val="00E169A8"/>
    <w:rsid w:val="00E268DD"/>
    <w:rsid w:val="00E26E26"/>
    <w:rsid w:val="00E8111B"/>
    <w:rsid w:val="00EA59F7"/>
    <w:rsid w:val="00EC3558"/>
    <w:rsid w:val="00ED751C"/>
    <w:rsid w:val="00F04A00"/>
    <w:rsid w:val="00F10D78"/>
    <w:rsid w:val="00F4420D"/>
    <w:rsid w:val="00F92162"/>
    <w:rsid w:val="00FA7ECC"/>
    <w:rsid w:val="00FD247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820271594">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1618103671">
      <w:bodyDiv w:val="1"/>
      <w:marLeft w:val="0"/>
      <w:marRight w:val="0"/>
      <w:marTop w:val="0"/>
      <w:marBottom w:val="0"/>
      <w:divBdr>
        <w:top w:val="none" w:sz="0" w:space="0" w:color="auto"/>
        <w:left w:val="none" w:sz="0" w:space="0" w:color="auto"/>
        <w:bottom w:val="none" w:sz="0" w:space="0" w:color="auto"/>
        <w:right w:val="none" w:sz="0" w:space="0" w:color="auto"/>
      </w:divBdr>
    </w:div>
    <w:div w:id="1958485382">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coeli.sk/detail-29-mediacoeli_Licen&#269;n&#225;_dohoda_na_verejne_spr&#237;stupnen&#233;_diela_MEDIA_COELI_&#174;.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mediacoeli.sk/detail-125-mediacoeli_Vysvetlenie_pojmu_P&#243;ly_rastu..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3E4284"/>
    <w:rsid w:val="005C3B51"/>
    <w:rsid w:val="00670F02"/>
    <w:rsid w:val="00677726"/>
    <w:rsid w:val="00717489"/>
    <w:rsid w:val="0073796B"/>
    <w:rsid w:val="0086398C"/>
    <w:rsid w:val="00946600"/>
    <w:rsid w:val="00A3700D"/>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5B7D8-5083-46C6-A2C4-BB08643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876</Words>
  <Characters>4994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Vysvetlenie pojmu Póly rastu.</vt:lpstr>
    </vt:vector>
  </TitlesOfParts>
  <Company>MEDIA COELI ®, Pekárska 11, 917 01 Trnava, Slovakia, info@mediacoeli.sk, SK, CZ: 00421911907188,  English, French, German: 00421904807188, www.mediacoeli.sk</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pojmu Póly rastu.</dc:title>
  <dc:creator>Milena Mrvová;MEDIA COELI ®</dc:creator>
  <cp:lastModifiedBy>Milena Mrvová</cp:lastModifiedBy>
  <cp:revision>8</cp:revision>
  <cp:lastPrinted>2013-05-25T07:16:00Z</cp:lastPrinted>
  <dcterms:created xsi:type="dcterms:W3CDTF">2013-05-25T06:53:00Z</dcterms:created>
  <dcterms:modified xsi:type="dcterms:W3CDTF">2013-05-25T07:17:00Z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