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0602B8" w:rsidRDefault="00357DD7" w:rsidP="0095065F">
      <w:pPr>
        <w:spacing w:before="0" w:after="0"/>
        <w:rPr>
          <w:color w:val="CC0099"/>
          <w:sz w:val="20"/>
        </w:rPr>
      </w:pPr>
    </w:p>
    <w:p w:rsidR="00635A3D" w:rsidRPr="000602B8" w:rsidRDefault="00635A3D" w:rsidP="0095065F">
      <w:pPr>
        <w:spacing w:before="0" w:after="0"/>
        <w:rPr>
          <w:color w:val="CC0099"/>
          <w:sz w:val="20"/>
        </w:rPr>
      </w:pPr>
    </w:p>
    <w:p w:rsidR="00635A3D" w:rsidRPr="000602B8" w:rsidRDefault="00635A3D" w:rsidP="0095065F">
      <w:pPr>
        <w:spacing w:before="0" w:after="0"/>
        <w:rPr>
          <w:color w:val="CC0099"/>
          <w:sz w:val="20"/>
        </w:rPr>
      </w:pPr>
    </w:p>
    <w:p w:rsidR="00635A3D" w:rsidRPr="000602B8" w:rsidRDefault="00635A3D" w:rsidP="0095065F">
      <w:pPr>
        <w:spacing w:before="0" w:after="0"/>
        <w:rPr>
          <w:color w:val="CC0099"/>
          <w:sz w:val="20"/>
        </w:rPr>
      </w:pPr>
    </w:p>
    <w:p w:rsidR="006203D3" w:rsidRPr="000602B8" w:rsidRDefault="006203D3" w:rsidP="0095065F">
      <w:pPr>
        <w:spacing w:before="0" w:after="0"/>
        <w:rPr>
          <w:color w:val="CC0099"/>
          <w:sz w:val="20"/>
        </w:rPr>
      </w:pPr>
    </w:p>
    <w:p w:rsidR="00BE333C" w:rsidRPr="000602B8" w:rsidRDefault="00BE333C" w:rsidP="00437E4F">
      <w:pPr>
        <w:spacing w:before="0" w:after="0"/>
        <w:jc w:val="both"/>
        <w:rPr>
          <w:color w:val="CC0099"/>
          <w:sz w:val="20"/>
        </w:rPr>
      </w:pPr>
    </w:p>
    <w:p w:rsidR="00437E4F" w:rsidRPr="000602B8" w:rsidRDefault="008649DE" w:rsidP="00437E4F">
      <w:pPr>
        <w:spacing w:before="0" w:after="0"/>
        <w:jc w:val="both"/>
        <w:rPr>
          <w:color w:val="CC0099"/>
          <w:sz w:val="20"/>
        </w:rPr>
      </w:pPr>
      <w:r w:rsidRPr="000602B8">
        <w:rPr>
          <w:color w:val="CC0099"/>
          <w:sz w:val="20"/>
        </w:rPr>
        <w:t>Niektoré n</w:t>
      </w:r>
      <w:r w:rsidR="00437E4F" w:rsidRPr="000602B8">
        <w:rPr>
          <w:color w:val="CC0099"/>
          <w:sz w:val="20"/>
        </w:rPr>
        <w:t>ás</w:t>
      </w:r>
      <w:r w:rsidRPr="000602B8">
        <w:rPr>
          <w:color w:val="CC0099"/>
          <w:sz w:val="20"/>
        </w:rPr>
        <w:t xml:space="preserve">troje finančného inžinierstva - </w:t>
      </w:r>
      <w:r w:rsidR="00437E4F" w:rsidRPr="000602B8">
        <w:rPr>
          <w:color w:val="CC0099"/>
          <w:sz w:val="20"/>
        </w:rPr>
        <w:t>Finančné nástroje EÚ</w:t>
      </w:r>
      <w:r w:rsidRPr="000602B8">
        <w:rPr>
          <w:color w:val="CC0099"/>
          <w:sz w:val="20"/>
        </w:rPr>
        <w:t xml:space="preserve"> - všeobecne</w:t>
      </w:r>
    </w:p>
    <w:p w:rsidR="00437E4F" w:rsidRPr="000602B8" w:rsidRDefault="00437E4F" w:rsidP="00437E4F">
      <w:pPr>
        <w:spacing w:before="0" w:after="0"/>
        <w:jc w:val="both"/>
        <w:rPr>
          <w:b w:val="0"/>
          <w:color w:val="CC0099"/>
          <w:sz w:val="20"/>
        </w:rPr>
      </w:pPr>
    </w:p>
    <w:p w:rsidR="00437E4F" w:rsidRPr="000602B8" w:rsidRDefault="004759BD" w:rsidP="00437E4F">
      <w:pPr>
        <w:spacing w:before="0" w:after="0"/>
        <w:jc w:val="both"/>
        <w:rPr>
          <w:b w:val="0"/>
          <w:color w:val="CC0099"/>
          <w:sz w:val="20"/>
        </w:rPr>
      </w:pPr>
      <w:r w:rsidRPr="000602B8">
        <w:rPr>
          <w:b w:val="0"/>
          <w:color w:val="CC0099"/>
          <w:sz w:val="20"/>
        </w:rPr>
        <w:t xml:space="preserve">Metóda „recyklácie disponibilných zdrojov“ alebo v oficiálnom jazyku „dosahovania synergie“ využívania dotácií je pomerne nová v rámci dotačného systému. Vzhľadom k pretrvávajúcej finančnej kríze v Európe má však čoraz silnejšiu podporu a preto bude súčasťou </w:t>
      </w:r>
      <w:r w:rsidR="00193833" w:rsidRPr="000602B8">
        <w:rPr>
          <w:b w:val="0"/>
          <w:color w:val="CC0099"/>
          <w:sz w:val="20"/>
        </w:rPr>
        <w:t>dotačného systému aj v programovacom období 2014 – 2020. Podstatou tejto metódy je využiť existujúce obmedzené množstvo disponibilných zdrojov na čo najviac projektov, a to buď formou návratných investícií (v podstate zvýhodnené úvery alebo záruky) alebo viazaním verejných dotácií na určitý objem súkromných investícií (v podstate obdoba PPP projektov vo finančnej sfére a viazanie dotácií na budúce investície). V tomto smere EÚ intenzívne spolupracuje predovšetkým s </w:t>
      </w:r>
      <w:hyperlink r:id="rId9" w:history="1">
        <w:r w:rsidR="00193833" w:rsidRPr="000602B8">
          <w:rPr>
            <w:rStyle w:val="Hypertextovprepojenie"/>
            <w:b w:val="0"/>
            <w:color w:val="CC0099"/>
            <w:sz w:val="20"/>
          </w:rPr>
          <w:t>Európskou investičnou bankou</w:t>
        </w:r>
      </w:hyperlink>
      <w:r w:rsidR="00193833" w:rsidRPr="000602B8">
        <w:rPr>
          <w:b w:val="0"/>
          <w:color w:val="CC0099"/>
          <w:sz w:val="20"/>
        </w:rPr>
        <w:t xml:space="preserve"> a inými bankami. V časti prípadov ide o nástroje so samostatným rozpočtom, ktoré sú zaradené pod existujúcu grantovú schému, v ostatných prípadoch ide len o legislatívnu možnosť využitia časti alokovaných zdrojov národnými vládami.</w:t>
      </w:r>
    </w:p>
    <w:p w:rsidR="00635A3D" w:rsidRPr="000602B8" w:rsidRDefault="00635A3D" w:rsidP="00437E4F">
      <w:pPr>
        <w:spacing w:before="0" w:after="0"/>
        <w:jc w:val="both"/>
        <w:rPr>
          <w:b w:val="0"/>
          <w:color w:val="CC0099"/>
          <w:sz w:val="20"/>
        </w:rPr>
      </w:pPr>
    </w:p>
    <w:p w:rsidR="00193833" w:rsidRPr="000602B8" w:rsidRDefault="00193833" w:rsidP="00437E4F">
      <w:pPr>
        <w:spacing w:before="0" w:after="0"/>
        <w:jc w:val="both"/>
        <w:rPr>
          <w:b w:val="0"/>
          <w:color w:val="CC0099"/>
          <w:sz w:val="20"/>
        </w:rPr>
      </w:pPr>
    </w:p>
    <w:p w:rsidR="00193833" w:rsidRPr="000602B8" w:rsidRDefault="00193833" w:rsidP="00437E4F">
      <w:pPr>
        <w:spacing w:before="0" w:after="0"/>
        <w:jc w:val="both"/>
        <w:rPr>
          <w:color w:val="CC0099"/>
          <w:sz w:val="20"/>
        </w:rPr>
      </w:pPr>
      <w:r w:rsidRPr="000602B8">
        <w:rPr>
          <w:color w:val="CC0099"/>
          <w:sz w:val="20"/>
        </w:rPr>
        <w:t xml:space="preserve">V súčasnosti medzi nástroje finančného inžinierstva </w:t>
      </w:r>
      <w:r w:rsidR="00A431E2" w:rsidRPr="000602B8">
        <w:rPr>
          <w:color w:val="CC0099"/>
          <w:sz w:val="20"/>
        </w:rPr>
        <w:t xml:space="preserve">EÚ </w:t>
      </w:r>
      <w:r w:rsidRPr="000602B8">
        <w:rPr>
          <w:color w:val="CC0099"/>
          <w:sz w:val="20"/>
        </w:rPr>
        <w:t>patria:</w:t>
      </w:r>
    </w:p>
    <w:p w:rsidR="00635A3D" w:rsidRPr="000602B8" w:rsidRDefault="00635A3D" w:rsidP="00437E4F">
      <w:pPr>
        <w:spacing w:before="0" w:after="0"/>
        <w:jc w:val="both"/>
        <w:rPr>
          <w:color w:val="CC0099"/>
          <w:sz w:val="20"/>
        </w:rPr>
      </w:pPr>
    </w:p>
    <w:p w:rsidR="00193833" w:rsidRPr="000602B8" w:rsidRDefault="00EE17FF" w:rsidP="00437E4F">
      <w:pPr>
        <w:spacing w:before="0" w:after="0"/>
        <w:jc w:val="both"/>
        <w:rPr>
          <w:color w:val="CC0099"/>
          <w:sz w:val="20"/>
        </w:rPr>
      </w:pPr>
      <w:hyperlink r:id="rId10" w:history="1">
        <w:r w:rsidR="00193833" w:rsidRPr="000602B8">
          <w:rPr>
            <w:rStyle w:val="Hypertextovprepojenie"/>
            <w:color w:val="CC0099"/>
            <w:sz w:val="20"/>
          </w:rPr>
          <w:t>ELENA</w:t>
        </w:r>
      </w:hyperlink>
    </w:p>
    <w:p w:rsidR="00193833" w:rsidRPr="000602B8" w:rsidRDefault="00EE17FF" w:rsidP="00437E4F">
      <w:pPr>
        <w:spacing w:before="0" w:after="0"/>
        <w:jc w:val="both"/>
        <w:rPr>
          <w:color w:val="CC0099"/>
          <w:sz w:val="20"/>
        </w:rPr>
      </w:pPr>
      <w:hyperlink r:id="rId11" w:history="1">
        <w:r w:rsidR="00193833" w:rsidRPr="000602B8">
          <w:rPr>
            <w:rStyle w:val="Hypertextovprepojenie"/>
            <w:color w:val="CC0099"/>
            <w:sz w:val="20"/>
          </w:rPr>
          <w:t>JESSICA</w:t>
        </w:r>
      </w:hyperlink>
    </w:p>
    <w:p w:rsidR="00193833" w:rsidRPr="000602B8" w:rsidRDefault="00EE17FF" w:rsidP="00437E4F">
      <w:pPr>
        <w:spacing w:before="0" w:after="0"/>
        <w:jc w:val="both"/>
        <w:rPr>
          <w:color w:val="CC0099"/>
          <w:sz w:val="20"/>
        </w:rPr>
      </w:pPr>
      <w:hyperlink r:id="rId12" w:history="1">
        <w:r w:rsidR="00193833" w:rsidRPr="000602B8">
          <w:rPr>
            <w:rStyle w:val="Hypertextovprepojenie"/>
            <w:color w:val="CC0099"/>
            <w:sz w:val="20"/>
          </w:rPr>
          <w:t>JASPERS</w:t>
        </w:r>
      </w:hyperlink>
    </w:p>
    <w:p w:rsidR="00193833" w:rsidRPr="000602B8" w:rsidRDefault="00EE17FF" w:rsidP="00437E4F">
      <w:pPr>
        <w:spacing w:before="0" w:after="0"/>
        <w:jc w:val="both"/>
        <w:rPr>
          <w:color w:val="CC0099"/>
          <w:sz w:val="20"/>
        </w:rPr>
      </w:pPr>
      <w:hyperlink r:id="rId13" w:history="1">
        <w:r w:rsidR="00193833" w:rsidRPr="000602B8">
          <w:rPr>
            <w:rStyle w:val="Hypertextovprepojenie"/>
            <w:color w:val="CC0099"/>
            <w:sz w:val="20"/>
          </w:rPr>
          <w:t>JEREMIE</w:t>
        </w:r>
      </w:hyperlink>
    </w:p>
    <w:p w:rsidR="00193833" w:rsidRPr="000602B8" w:rsidRDefault="00193833" w:rsidP="00437E4F">
      <w:pPr>
        <w:spacing w:before="0" w:after="0"/>
        <w:jc w:val="both"/>
        <w:rPr>
          <w:color w:val="CC0099"/>
          <w:sz w:val="20"/>
        </w:rPr>
      </w:pPr>
      <w:r w:rsidRPr="000602B8">
        <w:rPr>
          <w:color w:val="CC0099"/>
          <w:sz w:val="20"/>
        </w:rPr>
        <w:t>JASMINE</w:t>
      </w:r>
    </w:p>
    <w:p w:rsidR="00193833" w:rsidRPr="000602B8" w:rsidRDefault="00193833" w:rsidP="00437E4F">
      <w:pPr>
        <w:spacing w:before="0" w:after="0"/>
        <w:jc w:val="both"/>
        <w:rPr>
          <w:b w:val="0"/>
          <w:color w:val="CC0099"/>
          <w:sz w:val="20"/>
        </w:rPr>
      </w:pPr>
    </w:p>
    <w:p w:rsidR="00635A3D" w:rsidRPr="000602B8" w:rsidRDefault="00635A3D" w:rsidP="00437E4F">
      <w:pPr>
        <w:spacing w:before="0" w:after="0"/>
        <w:jc w:val="both"/>
        <w:rPr>
          <w:b w:val="0"/>
          <w:color w:val="CC0099"/>
          <w:sz w:val="20"/>
        </w:rPr>
      </w:pPr>
    </w:p>
    <w:p w:rsidR="00193833" w:rsidRPr="000602B8" w:rsidRDefault="00193833" w:rsidP="00437E4F">
      <w:pPr>
        <w:spacing w:before="0" w:after="0"/>
        <w:jc w:val="both"/>
        <w:rPr>
          <w:b w:val="0"/>
          <w:color w:val="CC0099"/>
          <w:sz w:val="20"/>
        </w:rPr>
      </w:pPr>
      <w:r w:rsidRPr="000602B8">
        <w:rPr>
          <w:b w:val="0"/>
          <w:color w:val="CC0099"/>
          <w:sz w:val="20"/>
        </w:rPr>
        <w:t xml:space="preserve">Za ostatné tri roky však vznikol rad ďalších samostatných fondov, ktoré síce majú rovnaký filozofický základ ako pôvodné nástroje finančného inžinierstva, ale </w:t>
      </w:r>
      <w:r w:rsidR="0077076A" w:rsidRPr="000602B8">
        <w:rPr>
          <w:b w:val="0"/>
          <w:color w:val="CC0099"/>
          <w:sz w:val="20"/>
        </w:rPr>
        <w:t xml:space="preserve">z hľadiska ich fungovania a vo vzťahu k dotačnému systému EÚ ide o nesystémové a ad hoc nástroje. </w:t>
      </w:r>
      <w:r w:rsidRPr="000602B8">
        <w:rPr>
          <w:b w:val="0"/>
          <w:color w:val="CC0099"/>
          <w:sz w:val="20"/>
        </w:rPr>
        <w:t>Ide napríklad o:</w:t>
      </w:r>
    </w:p>
    <w:p w:rsidR="00635A3D" w:rsidRPr="000602B8" w:rsidRDefault="00635A3D" w:rsidP="00437E4F">
      <w:pPr>
        <w:spacing w:before="0" w:after="0"/>
        <w:jc w:val="both"/>
        <w:rPr>
          <w:b w:val="0"/>
          <w:color w:val="CC0099"/>
          <w:sz w:val="20"/>
        </w:rPr>
      </w:pPr>
    </w:p>
    <w:p w:rsidR="00193833" w:rsidRPr="000602B8" w:rsidRDefault="00EE17FF" w:rsidP="00437E4F">
      <w:pPr>
        <w:spacing w:before="0" w:after="0"/>
        <w:jc w:val="both"/>
        <w:rPr>
          <w:color w:val="CC0099"/>
          <w:sz w:val="20"/>
        </w:rPr>
      </w:pPr>
      <w:hyperlink r:id="rId14" w:history="1">
        <w:r w:rsidR="00193833" w:rsidRPr="000602B8">
          <w:rPr>
            <w:rStyle w:val="Hypertextovprepojenie"/>
            <w:color w:val="CC0099"/>
            <w:sz w:val="20"/>
          </w:rPr>
          <w:t>NER300</w:t>
        </w:r>
      </w:hyperlink>
    </w:p>
    <w:p w:rsidR="00193833" w:rsidRPr="000602B8" w:rsidRDefault="00EE17FF" w:rsidP="00437E4F">
      <w:pPr>
        <w:spacing w:before="0" w:after="0"/>
        <w:jc w:val="both"/>
        <w:rPr>
          <w:color w:val="CC0099"/>
          <w:sz w:val="20"/>
        </w:rPr>
      </w:pPr>
      <w:hyperlink r:id="rId15" w:history="1">
        <w:r w:rsidR="0077076A" w:rsidRPr="000602B8">
          <w:rPr>
            <w:rStyle w:val="Hypertextovprepojenie"/>
            <w:color w:val="CC0099"/>
            <w:sz w:val="20"/>
          </w:rPr>
          <w:t>Marguerite fond</w:t>
        </w:r>
      </w:hyperlink>
    </w:p>
    <w:p w:rsidR="0077076A" w:rsidRPr="000602B8" w:rsidRDefault="00EE17FF" w:rsidP="00437E4F">
      <w:pPr>
        <w:spacing w:before="0" w:after="0"/>
        <w:jc w:val="both"/>
        <w:rPr>
          <w:color w:val="CC0099"/>
          <w:sz w:val="20"/>
        </w:rPr>
      </w:pPr>
      <w:hyperlink r:id="rId16" w:history="1">
        <w:r w:rsidR="0077076A" w:rsidRPr="000602B8">
          <w:rPr>
            <w:rStyle w:val="Hypertextovprepojenie"/>
            <w:color w:val="CC0099"/>
            <w:sz w:val="20"/>
          </w:rPr>
          <w:t>Európsky fond energetickej efektívnosti</w:t>
        </w:r>
      </w:hyperlink>
    </w:p>
    <w:p w:rsidR="00635A3D" w:rsidRPr="000602B8" w:rsidRDefault="00635A3D" w:rsidP="00437E4F">
      <w:pPr>
        <w:spacing w:before="0" w:after="0"/>
        <w:jc w:val="both"/>
        <w:rPr>
          <w:b w:val="0"/>
          <w:color w:val="CC0099"/>
          <w:sz w:val="20"/>
        </w:rPr>
      </w:pPr>
    </w:p>
    <w:p w:rsidR="00635A3D" w:rsidRPr="000602B8" w:rsidRDefault="00635A3D" w:rsidP="00437E4F">
      <w:pPr>
        <w:spacing w:before="0" w:after="0"/>
        <w:jc w:val="both"/>
        <w:rPr>
          <w:b w:val="0"/>
          <w:color w:val="CC0099"/>
          <w:sz w:val="20"/>
        </w:rPr>
      </w:pPr>
    </w:p>
    <w:p w:rsidR="0077076A" w:rsidRPr="000602B8" w:rsidRDefault="0077076A" w:rsidP="00437E4F">
      <w:pPr>
        <w:spacing w:before="0" w:after="0"/>
        <w:jc w:val="both"/>
        <w:rPr>
          <w:color w:val="CC0099"/>
          <w:sz w:val="20"/>
        </w:rPr>
      </w:pPr>
      <w:r w:rsidRPr="000602B8">
        <w:rPr>
          <w:color w:val="CC0099"/>
          <w:sz w:val="20"/>
        </w:rPr>
        <w:t>V programovacom období 2014 – 2020 zostanú nástroje finančného inžinierstva, resp. finančné nástroje EÚ aj naďalej prioritnými nástrojmi podpory prioritných oblastí a dosahovania stanovených cieľov v Spoločnom strategickom rámci EÚ. Národné vlády však budú mať voľnejšiu ruku pri adaptovaní filozofie nástrojov na miestne podmienky.</w:t>
      </w:r>
    </w:p>
    <w:p w:rsidR="0077076A" w:rsidRPr="000602B8" w:rsidRDefault="0077076A" w:rsidP="00437E4F">
      <w:pPr>
        <w:spacing w:before="0" w:after="0"/>
        <w:jc w:val="both"/>
        <w:rPr>
          <w:b w:val="0"/>
          <w:color w:val="CC0099"/>
          <w:sz w:val="20"/>
        </w:rPr>
      </w:pPr>
    </w:p>
    <w:p w:rsidR="00437E4F" w:rsidRPr="000602B8" w:rsidRDefault="00437E4F" w:rsidP="00437E4F">
      <w:pPr>
        <w:spacing w:before="0" w:after="0"/>
        <w:jc w:val="both"/>
        <w:rPr>
          <w:b w:val="0"/>
          <w:color w:val="CC0099"/>
          <w:sz w:val="20"/>
        </w:rPr>
      </w:pPr>
    </w:p>
    <w:p w:rsidR="0095065F" w:rsidRPr="000602B8" w:rsidRDefault="0095065F" w:rsidP="0095065F">
      <w:pPr>
        <w:spacing w:before="0" w:after="0"/>
        <w:rPr>
          <w:color w:val="CC0099"/>
          <w:sz w:val="20"/>
        </w:rPr>
      </w:pPr>
    </w:p>
    <w:p w:rsidR="0095065F" w:rsidRPr="000602B8" w:rsidRDefault="0095065F" w:rsidP="0095065F">
      <w:pPr>
        <w:spacing w:before="0" w:after="0"/>
        <w:rPr>
          <w:color w:val="CC0099"/>
          <w:sz w:val="20"/>
        </w:rPr>
      </w:pPr>
    </w:p>
    <w:p w:rsidR="00150353" w:rsidRPr="000602B8" w:rsidRDefault="00E169A8" w:rsidP="001F4AB6">
      <w:pPr>
        <w:spacing w:before="0" w:after="0" w:line="276" w:lineRule="auto"/>
        <w:rPr>
          <w:rStyle w:val="Hypertextovprepojenie"/>
          <w:color w:val="CC0099"/>
          <w:sz w:val="16"/>
          <w:szCs w:val="16"/>
        </w:rPr>
      </w:pPr>
      <w:r w:rsidRPr="000602B8">
        <w:rPr>
          <w:color w:val="CC0099"/>
          <w:sz w:val="16"/>
          <w:szCs w:val="16"/>
        </w:rPr>
        <w:t xml:space="preserve">verejne sprístupnené dielo MEDIA COELI </w:t>
      </w:r>
      <w:r w:rsidRPr="000602B8">
        <w:rPr>
          <w:color w:val="CC0099"/>
          <w:sz w:val="16"/>
          <w:szCs w:val="16"/>
          <w:vertAlign w:val="superscript"/>
        </w:rPr>
        <w:t>®</w:t>
      </w:r>
      <w:r w:rsidRPr="000602B8">
        <w:rPr>
          <w:color w:val="CC0099"/>
          <w:sz w:val="16"/>
          <w:szCs w:val="16"/>
        </w:rPr>
        <w:t xml:space="preserve"> podmienky: </w:t>
      </w:r>
      <w:hyperlink r:id="rId17" w:history="1">
        <w:r w:rsidR="00AE59CA" w:rsidRPr="000602B8">
          <w:rPr>
            <w:rStyle w:val="Hypertextovprepojenie"/>
            <w:color w:val="CC0099"/>
            <w:sz w:val="16"/>
            <w:szCs w:val="16"/>
          </w:rPr>
          <w:t>www.mediacoeli.sk</w:t>
        </w:r>
      </w:hyperlink>
    </w:p>
    <w:p w:rsidR="001F4AB6" w:rsidRPr="000602B8" w:rsidRDefault="001F4AB6" w:rsidP="001F4AB6">
      <w:pPr>
        <w:spacing w:before="0" w:after="0" w:line="276" w:lineRule="auto"/>
        <w:rPr>
          <w:color w:val="CC0099"/>
          <w:sz w:val="16"/>
          <w:szCs w:val="16"/>
        </w:rPr>
      </w:pPr>
    </w:p>
    <w:sdt>
      <w:sdtPr>
        <w:rPr>
          <w:color w:val="CC0099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0602B8" w:rsidRDefault="000F69FA" w:rsidP="001F4AB6">
          <w:pPr>
            <w:spacing w:before="0" w:after="0" w:line="276" w:lineRule="auto"/>
            <w:rPr>
              <w:color w:val="CC0099"/>
              <w:sz w:val="16"/>
              <w:szCs w:val="16"/>
            </w:rPr>
          </w:pPr>
          <w:r w:rsidRPr="000602B8">
            <w:rPr>
              <w:color w:val="CC0099"/>
              <w:sz w:val="16"/>
              <w:szCs w:val="16"/>
            </w:rPr>
            <w:t xml:space="preserve">Váš konzultant: </w:t>
          </w:r>
        </w:p>
        <w:p w:rsidR="00495077" w:rsidRPr="000602B8" w:rsidRDefault="00495077" w:rsidP="001F4AB6">
          <w:pPr>
            <w:spacing w:before="0" w:after="0" w:line="276" w:lineRule="auto"/>
            <w:rPr>
              <w:color w:val="CC0099"/>
              <w:sz w:val="16"/>
              <w:szCs w:val="16"/>
            </w:rPr>
          </w:pPr>
        </w:p>
        <w:p w:rsidR="00093E63" w:rsidRPr="000602B8" w:rsidRDefault="00093E63" w:rsidP="001F4AB6">
          <w:pPr>
            <w:spacing w:before="0" w:after="0" w:line="276" w:lineRule="auto"/>
            <w:rPr>
              <w:color w:val="CC0099"/>
              <w:sz w:val="16"/>
              <w:szCs w:val="16"/>
            </w:rPr>
          </w:pPr>
        </w:p>
        <w:p w:rsidR="000F69FA" w:rsidRPr="000602B8" w:rsidRDefault="00EE17FF" w:rsidP="001F4AB6">
          <w:pPr>
            <w:spacing w:before="0" w:after="0" w:line="276" w:lineRule="auto"/>
            <w:rPr>
              <w:color w:val="CC0099"/>
              <w:sz w:val="16"/>
              <w:szCs w:val="16"/>
            </w:rPr>
          </w:pPr>
        </w:p>
        <w:bookmarkEnd w:id="0" w:displacedByCustomXml="next"/>
      </w:sdtContent>
    </w:sdt>
    <w:sectPr w:rsidR="000F69FA" w:rsidRPr="000602B8" w:rsidSect="006203D3">
      <w:headerReference w:type="default" r:id="rId18"/>
      <w:footerReference w:type="default" r:id="rId19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FF" w:rsidRDefault="00EE17FF" w:rsidP="00F4420D">
      <w:pPr>
        <w:spacing w:after="0"/>
      </w:pPr>
      <w:r>
        <w:separator/>
      </w:r>
    </w:p>
  </w:endnote>
  <w:endnote w:type="continuationSeparator" w:id="0">
    <w:p w:rsidR="00EE17FF" w:rsidRDefault="00EE17FF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EE17FF" w:rsidRPr="00EE17FF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EE17FF" w:rsidRPr="00EE17FF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FF" w:rsidRDefault="00EE17FF" w:rsidP="00F4420D">
      <w:pPr>
        <w:spacing w:after="0"/>
      </w:pPr>
      <w:r>
        <w:separator/>
      </w:r>
    </w:p>
  </w:footnote>
  <w:footnote w:type="continuationSeparator" w:id="0">
    <w:p w:rsidR="00EE17FF" w:rsidRDefault="00EE17FF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3C" w:rsidRPr="00BE333C" w:rsidRDefault="00BE333C" w:rsidP="00BE333C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BE333C">
      <w:rPr>
        <w:color w:val="A6A6A6" w:themeColor="background1" w:themeShade="A6"/>
        <w:sz w:val="16"/>
        <w:szCs w:val="16"/>
      </w:rPr>
      <w:t>Niektoré nástroje finančného inžinierstva - Finančné nástroje EÚ - všeobecne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1060180B" wp14:editId="518726FA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f3PxjFAdHCCb9YETVs0xb3nbI0=" w:salt="TBEk+Sfofue+bOb2+DP/m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602B8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93833"/>
    <w:rsid w:val="001B6CDE"/>
    <w:rsid w:val="001F4AB6"/>
    <w:rsid w:val="0024129C"/>
    <w:rsid w:val="00241D19"/>
    <w:rsid w:val="0028147B"/>
    <w:rsid w:val="002F342E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37E4F"/>
    <w:rsid w:val="00447FFD"/>
    <w:rsid w:val="00460A9F"/>
    <w:rsid w:val="004759BD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A643E"/>
    <w:rsid w:val="005E6066"/>
    <w:rsid w:val="00602EF9"/>
    <w:rsid w:val="006203D3"/>
    <w:rsid w:val="00635A3D"/>
    <w:rsid w:val="00645C24"/>
    <w:rsid w:val="006505EC"/>
    <w:rsid w:val="00662B82"/>
    <w:rsid w:val="00673F90"/>
    <w:rsid w:val="00681C33"/>
    <w:rsid w:val="006B6987"/>
    <w:rsid w:val="0072638E"/>
    <w:rsid w:val="00736B3E"/>
    <w:rsid w:val="007617E7"/>
    <w:rsid w:val="0077076A"/>
    <w:rsid w:val="00787A94"/>
    <w:rsid w:val="007C3213"/>
    <w:rsid w:val="007C5670"/>
    <w:rsid w:val="00804257"/>
    <w:rsid w:val="008263F6"/>
    <w:rsid w:val="00854341"/>
    <w:rsid w:val="008649DE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05BD"/>
    <w:rsid w:val="00A36AFE"/>
    <w:rsid w:val="00A431E2"/>
    <w:rsid w:val="00AA5082"/>
    <w:rsid w:val="00AE59CA"/>
    <w:rsid w:val="00B43241"/>
    <w:rsid w:val="00BC7C19"/>
    <w:rsid w:val="00BE333C"/>
    <w:rsid w:val="00BE4284"/>
    <w:rsid w:val="00BF6324"/>
    <w:rsid w:val="00BF7C27"/>
    <w:rsid w:val="00C84B9F"/>
    <w:rsid w:val="00C869DB"/>
    <w:rsid w:val="00CA4707"/>
    <w:rsid w:val="00CC3E8D"/>
    <w:rsid w:val="00CD484A"/>
    <w:rsid w:val="00D0790B"/>
    <w:rsid w:val="00D10615"/>
    <w:rsid w:val="00D176A7"/>
    <w:rsid w:val="00D51B96"/>
    <w:rsid w:val="00D80350"/>
    <w:rsid w:val="00DB0B54"/>
    <w:rsid w:val="00DD1C22"/>
    <w:rsid w:val="00E169A8"/>
    <w:rsid w:val="00E268DD"/>
    <w:rsid w:val="00E26E26"/>
    <w:rsid w:val="00E8111B"/>
    <w:rsid w:val="00EA59F7"/>
    <w:rsid w:val="00EC3558"/>
    <w:rsid w:val="00ED751C"/>
    <w:rsid w:val="00EE17FF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acoeli.sk/detail-88-mediacoeli_JEREMIE_-_(Spolo&#269;n&#233;_eur&#243;pske_zdroje_pre_ve&#318;mi_mal&#233;_a&#382;_stredn&#233;_podniky)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mediacoeli.sk/detail-28-mediacoeli_JASPERS_&#8211;_Spolo&#269;n&#225;_pomoc_pri_podpore_projektov_eur&#243;pskych_regi&#243;nov.html" TargetMode="External"/><Relationship Id="rId17" Type="http://schemas.openxmlformats.org/officeDocument/2006/relationships/hyperlink" Target="http://www.mediacoeli.sk/detail-29-mediacoeli_Licen&#269;n&#225;_dohoda_na_verejne_spr&#237;stupnen&#233;_diela_MEDIA_COELI_&#174;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diacoeli.sk/detail-80-mediacoeli_EEEF_&#8211;_EUROPEAN_ENERGY_EFFICIENCY_FUND_(Eur&#243;psky_fond_energetickej_efekt&#237;vnosti)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acoeli.sk/detail-90-mediacoeli_Finan&#269;n&#253;_mechanizmus_JESSICA_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diacoeli.sk/detail-108-mediacoeli_Marguerite_Fund.html" TargetMode="External"/><Relationship Id="rId10" Type="http://schemas.openxmlformats.org/officeDocument/2006/relationships/hyperlink" Target="http://www.mediacoeli.sk/detail-51-mediacoeli_Priebe&#382;ne:_ELENA_&#8211;_Eur&#243;pska_miestna_energetick&#225;_pomoc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/detail-77-mediacoeli_Finan&#269;n&#225;_a_nefinan&#269;n&#225;_podpora_Eur&#243;pskej_investi&#269;nej_banky_(EIB).html" TargetMode="External"/><Relationship Id="rId14" Type="http://schemas.openxmlformats.org/officeDocument/2006/relationships/hyperlink" Target="http://www.mediacoeli.sk/index.php?detailshop=1&amp;cislo=20&amp;img=&amp;randcolor=7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20AA7"/>
    <w:rsid w:val="000D76FF"/>
    <w:rsid w:val="00425B0D"/>
    <w:rsid w:val="00670F02"/>
    <w:rsid w:val="00677726"/>
    <w:rsid w:val="00717489"/>
    <w:rsid w:val="0086398C"/>
    <w:rsid w:val="00A3700D"/>
    <w:rsid w:val="00BF3992"/>
    <w:rsid w:val="00CD5928"/>
    <w:rsid w:val="00D91FD6"/>
    <w:rsid w:val="00DE406D"/>
    <w:rsid w:val="00E43644"/>
    <w:rsid w:val="00E52C02"/>
    <w:rsid w:val="00EC78B3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8D558-5C8C-4E89-9BD5-EBCC0937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Niektoré nástroje finančného inžinierstva - Finančné nástroje EÚ - všeobecne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Niektoré nástroje finančného inžinierstva - Finančné nástroje EÚ - všeobecne</dc:title>
  <dc:creator>MEDIA COELI ®</dc:creator>
  <cp:lastModifiedBy>Milena Mrvová</cp:lastModifiedBy>
  <cp:revision>14</cp:revision>
  <cp:lastPrinted>2013-02-17T23:41:00Z</cp:lastPrinted>
  <dcterms:created xsi:type="dcterms:W3CDTF">2013-02-16T15:18:00Z</dcterms:created>
  <dcterms:modified xsi:type="dcterms:W3CDTF">2013-02-17T23:42:00Z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