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177039" w:rsidRDefault="00357DD7" w:rsidP="0095065F">
      <w:pPr>
        <w:spacing w:before="0" w:after="0"/>
        <w:rPr>
          <w:color w:val="800000"/>
          <w:sz w:val="2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6203D3" w:rsidRPr="00177039" w:rsidRDefault="006203D3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76F00" w:rsidRPr="00177039" w:rsidRDefault="00B701CA" w:rsidP="00B701CA">
      <w:pPr>
        <w:spacing w:before="0" w:after="0"/>
        <w:jc w:val="center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Dotácie pre </w:t>
      </w:r>
      <w:r w:rsidR="000F530E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firmy </w:t>
      </w:r>
      <w:r w:rsidR="003F1771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podnikajúce v oblasti poľnohospodárskej prvovýroby</w:t>
      </w:r>
      <w:r w:rsidR="00D74F1E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Termín vyhlásenia výzvy:</w:t>
      </w:r>
    </w:p>
    <w:p w:rsidR="0095065F" w:rsidRPr="00177039" w:rsidRDefault="003F1771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29</w:t>
      </w:r>
      <w:r w:rsidR="000F530E"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 apríl</w:t>
      </w:r>
      <w:r w:rsidR="00B701CA"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2013</w:t>
      </w: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5E49BE" w:rsidRPr="00177039" w:rsidRDefault="005E49BE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3F1771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Termín predkladania žiadostí</w:t>
      </w:r>
      <w:r w:rsidR="00B701CA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:</w:t>
      </w:r>
    </w:p>
    <w:p w:rsidR="000F530E" w:rsidRPr="00177039" w:rsidRDefault="003F1771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14.10. 2013 – 25.10.2013</w:t>
      </w: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3F1771" w:rsidRPr="00177039" w:rsidRDefault="003F1771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kto môže žiadať:</w:t>
      </w:r>
    </w:p>
    <w:p w:rsidR="000F530E" w:rsidRPr="00177039" w:rsidRDefault="003F1771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cs="Times New Roman"/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- fyzické a právnické osoby podnikajúce v poľnohospodárskej prvovýrobe</w:t>
      </w:r>
    </w:p>
    <w:p w:rsidR="002E0AF4" w:rsidRPr="00177039" w:rsidRDefault="002E0AF4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3F1771" w:rsidRPr="00177039" w:rsidRDefault="003F1771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na čo sa dá žiadať</w:t>
      </w:r>
      <w:r w:rsidR="005E49BE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: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b/>
          <w:bCs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A. Výstavba, rekonštrukcia a modernizácia objektov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– Rastlinná výroba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– Živočíšna výroba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– Mechanizácia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- Ostatné </w:t>
      </w:r>
    </w:p>
    <w:p w:rsidR="00CB10F0" w:rsidRPr="00177039" w:rsidRDefault="00CB10F0" w:rsidP="003F1771">
      <w:pPr>
        <w:pStyle w:val="Default"/>
        <w:rPr>
          <w:rFonts w:ascii="Verdana" w:hAnsi="Verdana"/>
          <w:b/>
          <w:bCs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b/>
          <w:bCs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B. Obstaranie a modernizácia technického a technologického vybavenia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– Rastlinná výroba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– Živočíšna výroba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– Mechanizácia </w:t>
      </w: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Oblasť - Ostatné </w:t>
      </w:r>
    </w:p>
    <w:p w:rsidR="00CB10F0" w:rsidRPr="00177039" w:rsidRDefault="00CB10F0" w:rsidP="003F1771">
      <w:pPr>
        <w:pStyle w:val="Default"/>
        <w:rPr>
          <w:rFonts w:ascii="Verdana" w:hAnsi="Verdana"/>
          <w:b/>
          <w:bCs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3F1771" w:rsidRPr="00177039" w:rsidRDefault="003F1771" w:rsidP="003F1771">
      <w:pPr>
        <w:pStyle w:val="Default"/>
        <w:rPr>
          <w:rFonts w:ascii="Verdana" w:hAnsi="Verdana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rFonts w:ascii="Verdana" w:hAnsi="Verdana"/>
          <w:b/>
          <w:bCs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C. Založenie porastov rýchlo rastúcich drevín </w:t>
      </w:r>
    </w:p>
    <w:p w:rsidR="0095065F" w:rsidRPr="00177039" w:rsidRDefault="003F1771" w:rsidP="003F1771">
      <w:pPr>
        <w:spacing w:before="0" w:after="0"/>
        <w:jc w:val="both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náklady na založenie porastov rýchlo rastúcich drevín</w:t>
      </w:r>
    </w:p>
    <w:p w:rsidR="00071070" w:rsidRPr="00177039" w:rsidRDefault="00071070" w:rsidP="003F1771">
      <w:pPr>
        <w:spacing w:before="0" w:after="0"/>
        <w:jc w:val="both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071070" w:rsidRPr="00177039" w:rsidRDefault="00CB10F0" w:rsidP="003F1771">
      <w:pPr>
        <w:spacing w:before="0" w:after="0"/>
        <w:jc w:val="both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V</w:t>
      </w:r>
      <w:r w:rsidR="00071070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ýdavky je možné vynaložiť odo dňa podania žiadosti.</w:t>
      </w:r>
    </w:p>
    <w:p w:rsidR="00B701CA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3F1771" w:rsidRPr="00177039" w:rsidRDefault="003F1771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doba trvania projektu:</w:t>
      </w:r>
    </w:p>
    <w:p w:rsidR="0095065F" w:rsidRPr="00177039" w:rsidRDefault="000F530E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ukončenie najneskôr do 30.06.2015</w:t>
      </w: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5E49BE" w:rsidRPr="00177039" w:rsidRDefault="005E49BE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výška dotácie:</w:t>
      </w:r>
    </w:p>
    <w:p w:rsidR="0095065F" w:rsidRPr="00177039" w:rsidRDefault="003F1771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50 % - mimo BSK v znevýhodnených oblastiach</w:t>
      </w:r>
    </w:p>
    <w:p w:rsidR="003F1771" w:rsidRPr="00177039" w:rsidRDefault="00071070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40</w:t>
      </w:r>
      <w:r w:rsidR="00CB10F0"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% - mimo BSK v ostatných oblastiach</w:t>
      </w:r>
    </w:p>
    <w:p w:rsidR="00CB10F0" w:rsidRPr="00177039" w:rsidRDefault="00CB10F0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50 % - v BSK v znevýhodnených oblastiach</w:t>
      </w:r>
    </w:p>
    <w:p w:rsidR="00CB10F0" w:rsidRPr="00177039" w:rsidRDefault="00CB10F0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40 % - v BSK </w:t>
      </w:r>
      <w:r w:rsidR="0042721E"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v ostatných oblastiach</w:t>
      </w:r>
    </w:p>
    <w:p w:rsidR="0042721E" w:rsidRPr="00177039" w:rsidRDefault="0042721E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40 % pre žiadateľa, ktorý nehospodári na poľnohospodárskej pôde</w:t>
      </w:r>
    </w:p>
    <w:p w:rsidR="0042721E" w:rsidRPr="00177039" w:rsidRDefault="0042721E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vyššiu podporu si môžu uplatniť žiadatelia, ktorých viac ako 50% výmery evidovanej v SAPS v roku 2012 patrí do znevýhodnených oblastí.</w:t>
      </w: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5E49BE" w:rsidRPr="00177039" w:rsidRDefault="005E49BE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3F1771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výška oprávnených výdavkov na 1 projekt</w:t>
      </w:r>
      <w:r w:rsidR="000F530E"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:</w:t>
      </w:r>
    </w:p>
    <w:p w:rsidR="000F530E" w:rsidRPr="00177039" w:rsidRDefault="003F1771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min. 3000 EUR</w:t>
      </w:r>
    </w:p>
    <w:p w:rsidR="003F1771" w:rsidRPr="00177039" w:rsidRDefault="003F1771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max. 500 000 EUR</w:t>
      </w:r>
    </w:p>
    <w:p w:rsidR="00B701CA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5E49BE" w:rsidRPr="00177039" w:rsidRDefault="005E49BE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B701CA" w:rsidRPr="00177039" w:rsidRDefault="00B701CA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podrobnosti o výzve:</w:t>
      </w:r>
    </w:p>
    <w:p w:rsidR="00B701CA" w:rsidRPr="00177039" w:rsidRDefault="00166755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hyperlink r:id="rId10" w:history="1">
        <w:r w:rsidR="00CE013A" w:rsidRPr="00177039">
          <w:rPr>
            <w:rStyle w:val="Hypertextovprepojenie"/>
            <w:b w:val="0"/>
            <w:color w:val="800000"/>
            <w:sz w:val="18"/>
            <w:szCs w:val="18"/>
            <w14:textFill>
              <w14:gradFill>
                <w14:gsLst>
                  <w14:gs w14:pos="0">
                    <w14:srgbClr w14:val="800000">
                      <w14:shade w14:val="30000"/>
                      <w14:satMod w14:val="115000"/>
                    </w14:srgbClr>
                  </w14:gs>
                  <w14:gs w14:pos="50000">
                    <w14:srgbClr w14:val="800000">
                      <w14:shade w14:val="67500"/>
                      <w14:satMod w14:val="115000"/>
                    </w14:srgbClr>
                  </w14:gs>
                  <w14:gs w14:pos="100000">
                    <w14:srgbClr w14:val="80000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http://www.apa.sk/index.php?navID=429</w:t>
        </w:r>
      </w:hyperlink>
      <w:r w:rsidR="00CE013A" w:rsidRPr="00177039"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</w:p>
    <w:p w:rsidR="0042721E" w:rsidRPr="00177039" w:rsidRDefault="0042721E" w:rsidP="0095065F">
      <w:pPr>
        <w:spacing w:before="0" w:after="0"/>
        <w:rPr>
          <w:b w:val="0"/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95065F" w:rsidRPr="00177039" w:rsidRDefault="0095065F" w:rsidP="0095065F">
      <w:pPr>
        <w:spacing w:before="0" w:after="0"/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150353" w:rsidRPr="00177039" w:rsidRDefault="00E169A8" w:rsidP="001F4AB6">
      <w:pPr>
        <w:spacing w:before="0" w:after="0" w:line="276" w:lineRule="auto"/>
        <w:rPr>
          <w:rStyle w:val="Hypertextovprepojenie"/>
          <w:color w:val="800000"/>
          <w:sz w:val="18"/>
          <w:szCs w:val="18"/>
          <w:u w:val="none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verejne sprístupnené dielo MEDIA COELI </w:t>
      </w:r>
      <w:r w:rsidRPr="00177039">
        <w:rPr>
          <w:color w:val="800000"/>
          <w:sz w:val="18"/>
          <w:szCs w:val="18"/>
          <w:vertAlign w:val="superscript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®</w:t>
      </w:r>
      <w:r w:rsidRPr="00177039">
        <w:rPr>
          <w:color w:val="800000"/>
          <w:sz w:val="18"/>
          <w:szCs w:val="18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podmienky: </w:t>
      </w:r>
      <w:hyperlink r:id="rId11" w:history="1">
        <w:r w:rsidR="00AE59CA" w:rsidRPr="00177039">
          <w:rPr>
            <w:rStyle w:val="Hypertextovprepojenie"/>
            <w:color w:val="800000"/>
            <w:sz w:val="18"/>
            <w:szCs w:val="18"/>
            <w14:textFill>
              <w14:gradFill>
                <w14:gsLst>
                  <w14:gs w14:pos="0">
                    <w14:srgbClr w14:val="800000">
                      <w14:shade w14:val="30000"/>
                      <w14:satMod w14:val="115000"/>
                    </w14:srgbClr>
                  </w14:gs>
                  <w14:gs w14:pos="50000">
                    <w14:srgbClr w14:val="800000">
                      <w14:shade w14:val="67500"/>
                      <w14:satMod w14:val="115000"/>
                    </w14:srgbClr>
                  </w14:gs>
                  <w14:gs w14:pos="100000">
                    <w14:srgbClr w14:val="80000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www.mediacoeli.sk</w:t>
        </w:r>
      </w:hyperlink>
    </w:p>
    <w:p w:rsidR="001F4AB6" w:rsidRPr="00177039" w:rsidRDefault="001F4AB6" w:rsidP="001F4AB6">
      <w:pPr>
        <w:spacing w:before="0" w:after="0" w:line="276" w:lineRule="auto"/>
        <w:rPr>
          <w:color w:val="800000"/>
          <w:sz w:val="16"/>
          <w:szCs w:val="1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sdt>
      <w:sdtPr>
        <w:rPr>
          <w:color w:val="800000"/>
          <w:sz w:val="16"/>
          <w:szCs w:val="1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177039" w:rsidRDefault="000F69FA" w:rsidP="001F4AB6">
          <w:pPr>
            <w:spacing w:before="0" w:after="0" w:line="276" w:lineRule="auto"/>
            <w:rPr>
              <w:color w:val="800000"/>
              <w:sz w:val="16"/>
              <w:szCs w:val="16"/>
              <w14:textFill>
                <w14:gradFill>
                  <w14:gsLst>
                    <w14:gs w14:pos="0">
                      <w14:srgbClr w14:val="800000">
                        <w14:shade w14:val="30000"/>
                        <w14:satMod w14:val="115000"/>
                      </w14:srgbClr>
                    </w14:gs>
                    <w14:gs w14:pos="50000">
                      <w14:srgbClr w14:val="800000">
                        <w14:shade w14:val="67500"/>
                        <w14:satMod w14:val="115000"/>
                      </w14:srgbClr>
                    </w14:gs>
                    <w14:gs w14:pos="100000">
                      <w14:srgbClr w14:val="800000">
                        <w14:shade w14:val="100000"/>
                        <w14:satMod w14:val="115000"/>
                      </w14:srgbClr>
                    </w14:gs>
                  </w14:gsLst>
                  <w14:lin w14:ang="13500000" w14:scaled="0"/>
                </w14:gradFill>
              </w14:textFill>
            </w:rPr>
          </w:pPr>
          <w:r w:rsidRPr="00177039">
            <w:rPr>
              <w:color w:val="800000"/>
              <w:sz w:val="16"/>
              <w:szCs w:val="16"/>
              <w14:textFill>
                <w14:gradFill>
                  <w14:gsLst>
                    <w14:gs w14:pos="0">
                      <w14:srgbClr w14:val="800000">
                        <w14:shade w14:val="30000"/>
                        <w14:satMod w14:val="115000"/>
                      </w14:srgbClr>
                    </w14:gs>
                    <w14:gs w14:pos="50000">
                      <w14:srgbClr w14:val="800000">
                        <w14:shade w14:val="67500"/>
                        <w14:satMod w14:val="115000"/>
                      </w14:srgbClr>
                    </w14:gs>
                    <w14:gs w14:pos="100000">
                      <w14:srgbClr w14:val="800000">
                        <w14:shade w14:val="100000"/>
                        <w14:satMod w14:val="115000"/>
                      </w14:srgbClr>
                    </w14:gs>
                  </w14:gsLst>
                  <w14:lin w14:ang="13500000" w14:scaled="0"/>
                </w14:gradFill>
              </w14:textFill>
            </w:rPr>
            <w:t xml:space="preserve">Váš konzultant: </w:t>
          </w:r>
        </w:p>
        <w:p w:rsidR="00495077" w:rsidRPr="00177039" w:rsidRDefault="00495077" w:rsidP="001F4AB6">
          <w:pPr>
            <w:spacing w:before="0" w:after="0" w:line="276" w:lineRule="auto"/>
            <w:rPr>
              <w:color w:val="800000"/>
              <w:sz w:val="16"/>
              <w:szCs w:val="16"/>
              <w14:textFill>
                <w14:gradFill>
                  <w14:gsLst>
                    <w14:gs w14:pos="0">
                      <w14:srgbClr w14:val="800000">
                        <w14:shade w14:val="30000"/>
                        <w14:satMod w14:val="115000"/>
                      </w14:srgbClr>
                    </w14:gs>
                    <w14:gs w14:pos="50000">
                      <w14:srgbClr w14:val="800000">
                        <w14:shade w14:val="67500"/>
                        <w14:satMod w14:val="115000"/>
                      </w14:srgbClr>
                    </w14:gs>
                    <w14:gs w14:pos="100000">
                      <w14:srgbClr w14:val="800000">
                        <w14:shade w14:val="100000"/>
                        <w14:satMod w14:val="115000"/>
                      </w14:srgbClr>
                    </w14:gs>
                  </w14:gsLst>
                  <w14:lin w14:ang="13500000" w14:scaled="0"/>
                </w14:gradFill>
              </w14:textFill>
            </w:rPr>
          </w:pPr>
        </w:p>
        <w:p w:rsidR="00093E63" w:rsidRPr="00177039" w:rsidRDefault="00093E63" w:rsidP="001F4AB6">
          <w:pPr>
            <w:spacing w:before="0" w:after="0" w:line="276" w:lineRule="auto"/>
            <w:rPr>
              <w:color w:val="800000"/>
              <w:sz w:val="16"/>
              <w:szCs w:val="16"/>
              <w14:textFill>
                <w14:gradFill>
                  <w14:gsLst>
                    <w14:gs w14:pos="0">
                      <w14:srgbClr w14:val="800000">
                        <w14:shade w14:val="30000"/>
                        <w14:satMod w14:val="115000"/>
                      </w14:srgbClr>
                    </w14:gs>
                    <w14:gs w14:pos="50000">
                      <w14:srgbClr w14:val="800000">
                        <w14:shade w14:val="67500"/>
                        <w14:satMod w14:val="115000"/>
                      </w14:srgbClr>
                    </w14:gs>
                    <w14:gs w14:pos="100000">
                      <w14:srgbClr w14:val="800000">
                        <w14:shade w14:val="100000"/>
                        <w14:satMod w14:val="115000"/>
                      </w14:srgbClr>
                    </w14:gs>
                  </w14:gsLst>
                  <w14:lin w14:ang="13500000" w14:scaled="0"/>
                </w14:gradFill>
              </w14:textFill>
            </w:rPr>
          </w:pPr>
        </w:p>
        <w:p w:rsidR="000F69FA" w:rsidRPr="00177039" w:rsidRDefault="00166755" w:rsidP="001F4AB6">
          <w:pPr>
            <w:spacing w:before="0" w:after="0" w:line="276" w:lineRule="auto"/>
            <w:rPr>
              <w:color w:val="800000"/>
              <w:sz w:val="16"/>
              <w:szCs w:val="16"/>
              <w14:textFill>
                <w14:gradFill>
                  <w14:gsLst>
                    <w14:gs w14:pos="0">
                      <w14:srgbClr w14:val="800000">
                        <w14:shade w14:val="30000"/>
                        <w14:satMod w14:val="115000"/>
                      </w14:srgbClr>
                    </w14:gs>
                    <w14:gs w14:pos="50000">
                      <w14:srgbClr w14:val="800000">
                        <w14:shade w14:val="67500"/>
                        <w14:satMod w14:val="115000"/>
                      </w14:srgbClr>
                    </w14:gs>
                    <w14:gs w14:pos="100000">
                      <w14:srgbClr w14:val="800000">
                        <w14:shade w14:val="100000"/>
                        <w14:satMod w14:val="115000"/>
                      </w14:srgbClr>
                    </w14:gs>
                  </w14:gsLst>
                  <w14:lin w14:ang="13500000" w14:scaled="0"/>
                </w14:gradFill>
              </w14:textFill>
            </w:rPr>
          </w:pPr>
        </w:p>
        <w:bookmarkEnd w:id="0" w:displacedByCustomXml="next"/>
      </w:sdtContent>
    </w:sdt>
    <w:sectPr w:rsidR="000F69FA" w:rsidRPr="00177039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55" w:rsidRDefault="00166755" w:rsidP="00F4420D">
      <w:pPr>
        <w:spacing w:after="0"/>
      </w:pPr>
      <w:r>
        <w:separator/>
      </w:r>
    </w:p>
  </w:endnote>
  <w:endnote w:type="continuationSeparator" w:id="0">
    <w:p w:rsidR="00166755" w:rsidRDefault="00166755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66755" w:rsidRPr="00166755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66755" w:rsidRPr="00166755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55" w:rsidRDefault="00166755" w:rsidP="00F4420D">
      <w:pPr>
        <w:spacing w:after="0"/>
      </w:pPr>
      <w:r>
        <w:separator/>
      </w:r>
    </w:p>
  </w:footnote>
  <w:footnote w:type="continuationSeparator" w:id="0">
    <w:p w:rsidR="00166755" w:rsidRDefault="00166755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2E0AF4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dotá</w:t>
    </w:r>
    <w:r w:rsidR="00AD18CD">
      <w:rPr>
        <w:color w:val="A6A6A6" w:themeColor="background1" w:themeShade="A6"/>
        <w:sz w:val="16"/>
        <w:szCs w:val="16"/>
      </w:rPr>
      <w:t xml:space="preserve">cie </w:t>
    </w:r>
    <w:r w:rsidR="000F530E">
      <w:rPr>
        <w:color w:val="A6A6A6" w:themeColor="background1" w:themeShade="A6"/>
        <w:sz w:val="16"/>
        <w:szCs w:val="16"/>
      </w:rPr>
      <w:t>informačné technológie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3685FEC3" wp14:editId="4D8B6112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7F46"/>
    <w:multiLevelType w:val="hybridMultilevel"/>
    <w:tmpl w:val="C5C23D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26C80"/>
    <w:multiLevelType w:val="hybridMultilevel"/>
    <w:tmpl w:val="6E1E1090"/>
    <w:lvl w:ilvl="0" w:tplc="304ACF8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ge7goIxF0yJgxG2BsqGdJ5Gsqg=" w:salt="9APkRHSCOBXY8RClGNFbv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07A50"/>
    <w:rsid w:val="00016469"/>
    <w:rsid w:val="00054332"/>
    <w:rsid w:val="00056D9E"/>
    <w:rsid w:val="00071070"/>
    <w:rsid w:val="000770D1"/>
    <w:rsid w:val="000928EF"/>
    <w:rsid w:val="00093E63"/>
    <w:rsid w:val="000F530E"/>
    <w:rsid w:val="000F69FA"/>
    <w:rsid w:val="00116E14"/>
    <w:rsid w:val="00135392"/>
    <w:rsid w:val="001471D2"/>
    <w:rsid w:val="00150353"/>
    <w:rsid w:val="00157167"/>
    <w:rsid w:val="00164B21"/>
    <w:rsid w:val="00166755"/>
    <w:rsid w:val="00171F91"/>
    <w:rsid w:val="00177039"/>
    <w:rsid w:val="0018154F"/>
    <w:rsid w:val="001922B1"/>
    <w:rsid w:val="001932A8"/>
    <w:rsid w:val="001F4AB6"/>
    <w:rsid w:val="00241D19"/>
    <w:rsid w:val="00273630"/>
    <w:rsid w:val="0028147B"/>
    <w:rsid w:val="002E0AF4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F1771"/>
    <w:rsid w:val="0042721E"/>
    <w:rsid w:val="00447FFD"/>
    <w:rsid w:val="004548E7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5E49BE"/>
    <w:rsid w:val="00602EF9"/>
    <w:rsid w:val="006203D3"/>
    <w:rsid w:val="00645C24"/>
    <w:rsid w:val="00673F90"/>
    <w:rsid w:val="00681C33"/>
    <w:rsid w:val="006B6987"/>
    <w:rsid w:val="006D0F88"/>
    <w:rsid w:val="0072638E"/>
    <w:rsid w:val="00736B3E"/>
    <w:rsid w:val="00751773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D18CD"/>
    <w:rsid w:val="00AE59CA"/>
    <w:rsid w:val="00B27564"/>
    <w:rsid w:val="00B33049"/>
    <w:rsid w:val="00B43241"/>
    <w:rsid w:val="00B701CA"/>
    <w:rsid w:val="00BE4284"/>
    <w:rsid w:val="00BF6324"/>
    <w:rsid w:val="00BF7C27"/>
    <w:rsid w:val="00C84B9F"/>
    <w:rsid w:val="00C869DB"/>
    <w:rsid w:val="00CA4707"/>
    <w:rsid w:val="00CB10F0"/>
    <w:rsid w:val="00CC3E8D"/>
    <w:rsid w:val="00CD484A"/>
    <w:rsid w:val="00CE013A"/>
    <w:rsid w:val="00D0790B"/>
    <w:rsid w:val="00D10615"/>
    <w:rsid w:val="00D51B96"/>
    <w:rsid w:val="00D74F1E"/>
    <w:rsid w:val="00D80350"/>
    <w:rsid w:val="00DB0B54"/>
    <w:rsid w:val="00DD3451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next w:val="Normlny"/>
    <w:link w:val="Nadpis1Char"/>
    <w:qFormat/>
    <w:rsid w:val="000F530E"/>
    <w:pPr>
      <w:keepNext/>
      <w:tabs>
        <w:tab w:val="left" w:pos="360"/>
      </w:tabs>
      <w:spacing w:before="0" w:after="0"/>
      <w:outlineLvl w:val="0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CharChar">
    <w:name w:val="Char Char"/>
    <w:basedOn w:val="Normlny"/>
    <w:rsid w:val="000F530E"/>
    <w:pPr>
      <w:spacing w:before="0" w:after="160" w:line="240" w:lineRule="exact"/>
    </w:pPr>
    <w:rPr>
      <w:rFonts w:ascii="Tahoma" w:eastAsia="Times New Roman" w:hAnsi="Tahoma" w:cs="Tahoma"/>
      <w:b w:val="0"/>
      <w:sz w:val="20"/>
    </w:rPr>
  </w:style>
  <w:style w:type="paragraph" w:styleId="Zarkazkladnhotextu">
    <w:name w:val="Body Text Indent"/>
    <w:basedOn w:val="Normlny"/>
    <w:link w:val="ZarkazkladnhotextuChar"/>
    <w:rsid w:val="000F530E"/>
    <w:pPr>
      <w:spacing w:before="0" w:after="120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F53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F53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177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4F1E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next w:val="Normlny"/>
    <w:link w:val="Nadpis1Char"/>
    <w:qFormat/>
    <w:rsid w:val="000F530E"/>
    <w:pPr>
      <w:keepNext/>
      <w:tabs>
        <w:tab w:val="left" w:pos="360"/>
      </w:tabs>
      <w:spacing w:before="0" w:after="0"/>
      <w:outlineLvl w:val="0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CharChar">
    <w:name w:val="Char Char"/>
    <w:basedOn w:val="Normlny"/>
    <w:rsid w:val="000F530E"/>
    <w:pPr>
      <w:spacing w:before="0" w:after="160" w:line="240" w:lineRule="exact"/>
    </w:pPr>
    <w:rPr>
      <w:rFonts w:ascii="Tahoma" w:eastAsia="Times New Roman" w:hAnsi="Tahoma" w:cs="Tahoma"/>
      <w:b w:val="0"/>
      <w:sz w:val="20"/>
    </w:rPr>
  </w:style>
  <w:style w:type="paragraph" w:styleId="Zarkazkladnhotextu">
    <w:name w:val="Body Text Indent"/>
    <w:basedOn w:val="Normlny"/>
    <w:link w:val="ZarkazkladnhotextuChar"/>
    <w:rsid w:val="000F530E"/>
    <w:pPr>
      <w:spacing w:before="0" w:after="120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F53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F53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177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4F1E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pa.sk/index.php?navID=42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4075A2"/>
    <w:rsid w:val="006128C6"/>
    <w:rsid w:val="00670F02"/>
    <w:rsid w:val="00677726"/>
    <w:rsid w:val="00717489"/>
    <w:rsid w:val="0086398C"/>
    <w:rsid w:val="00A3700D"/>
    <w:rsid w:val="00B871EE"/>
    <w:rsid w:val="00D91FD6"/>
    <w:rsid w:val="00DE406D"/>
    <w:rsid w:val="00E43644"/>
    <w:rsid w:val="00E52C02"/>
    <w:rsid w:val="00EC78B3"/>
    <w:rsid w:val="00FA22E6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1C52D-E7C3-40CA-A8D2-B9DA3D5B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pre firmy podnikajúce v oblasti poľnohospodárskej prvovýroby.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pre firmy podnikajúce v oblasti poľnohospodárskej prvovýroby.</dc:title>
  <dc:creator>MEDIA COELI ®</dc:creator>
  <cp:lastModifiedBy>Milena Mrvová</cp:lastModifiedBy>
  <cp:revision>6</cp:revision>
  <cp:lastPrinted>2013-05-03T11:14:00Z</cp:lastPrinted>
  <dcterms:created xsi:type="dcterms:W3CDTF">2013-05-03T10:24:00Z</dcterms:created>
  <dcterms:modified xsi:type="dcterms:W3CDTF">2013-05-03T11:14:00Z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