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D7" w:rsidRPr="00A74DC4" w:rsidRDefault="00357DD7" w:rsidP="003E7CF5">
      <w:pPr>
        <w:spacing w:before="0" w:after="0"/>
        <w:jc w:val="both"/>
        <w:rPr>
          <w:b w:val="0"/>
          <w:color w:val="008000"/>
          <w:sz w:val="20"/>
        </w:rPr>
      </w:pPr>
    </w:p>
    <w:p w:rsidR="003E7CF5" w:rsidRPr="00A74DC4" w:rsidRDefault="003E7CF5" w:rsidP="003E7CF5">
      <w:pPr>
        <w:spacing w:before="0" w:after="0"/>
        <w:jc w:val="both"/>
        <w:rPr>
          <w:b w:val="0"/>
          <w:color w:val="008000"/>
          <w:sz w:val="20"/>
        </w:rPr>
      </w:pPr>
    </w:p>
    <w:p w:rsidR="00D57AD8" w:rsidRPr="00A74DC4" w:rsidRDefault="00D57AD8" w:rsidP="003E7CF5">
      <w:pPr>
        <w:spacing w:before="0" w:after="0"/>
        <w:jc w:val="both"/>
        <w:rPr>
          <w:color w:val="008000"/>
          <w:sz w:val="20"/>
        </w:rPr>
      </w:pPr>
      <w:r w:rsidRPr="00A74DC4">
        <w:rPr>
          <w:color w:val="008000"/>
          <w:sz w:val="20"/>
        </w:rPr>
        <w:t xml:space="preserve">Program </w:t>
      </w:r>
      <w:proofErr w:type="spellStart"/>
      <w:r w:rsidRPr="00A74DC4">
        <w:rPr>
          <w:color w:val="008000"/>
          <w:sz w:val="20"/>
        </w:rPr>
        <w:t>Horizon</w:t>
      </w:r>
      <w:proofErr w:type="spellEnd"/>
      <w:r w:rsidRPr="00A74DC4">
        <w:rPr>
          <w:color w:val="008000"/>
          <w:sz w:val="20"/>
        </w:rPr>
        <w:t xml:space="preserve"> 2014 </w:t>
      </w:r>
      <w:r w:rsidR="003B24F1">
        <w:rPr>
          <w:color w:val="008000"/>
          <w:sz w:val="20"/>
        </w:rPr>
        <w:t>–</w:t>
      </w:r>
      <w:r w:rsidRPr="00A74DC4">
        <w:rPr>
          <w:color w:val="008000"/>
          <w:sz w:val="20"/>
        </w:rPr>
        <w:t xml:space="preserve"> 2020</w:t>
      </w:r>
      <w:r w:rsidR="003B24F1">
        <w:rPr>
          <w:color w:val="008000"/>
          <w:sz w:val="20"/>
        </w:rPr>
        <w:t xml:space="preserve"> -  všeobecne</w:t>
      </w:r>
    </w:p>
    <w:p w:rsidR="00D57AD8" w:rsidRPr="00A74DC4" w:rsidRDefault="00D57AD8" w:rsidP="003E7CF5">
      <w:pPr>
        <w:spacing w:before="0" w:after="0"/>
        <w:jc w:val="both"/>
        <w:rPr>
          <w:b w:val="0"/>
          <w:color w:val="008000"/>
          <w:sz w:val="20"/>
        </w:rPr>
      </w:pPr>
    </w:p>
    <w:p w:rsidR="003E7CF5" w:rsidRPr="00A74DC4" w:rsidRDefault="003E7CF5" w:rsidP="003E7CF5">
      <w:pPr>
        <w:spacing w:before="0" w:after="0"/>
        <w:jc w:val="both"/>
        <w:rPr>
          <w:b w:val="0"/>
          <w:color w:val="008000"/>
          <w:sz w:val="20"/>
        </w:rPr>
      </w:pPr>
    </w:p>
    <w:p w:rsidR="00D57AD8" w:rsidRPr="00A74DC4" w:rsidRDefault="00D57AD8" w:rsidP="003E7CF5">
      <w:pPr>
        <w:spacing w:before="0" w:after="0"/>
        <w:jc w:val="both"/>
        <w:rPr>
          <w:color w:val="008000"/>
          <w:sz w:val="20"/>
        </w:rPr>
      </w:pPr>
      <w:r w:rsidRPr="00A74DC4">
        <w:rPr>
          <w:color w:val="008000"/>
          <w:sz w:val="20"/>
        </w:rPr>
        <w:t>Predpokladaný dátum spustenia programu:</w:t>
      </w:r>
    </w:p>
    <w:p w:rsidR="003E7CF5" w:rsidRPr="00A74DC4" w:rsidRDefault="003E7CF5" w:rsidP="003E7CF5">
      <w:pPr>
        <w:spacing w:before="0" w:after="0"/>
        <w:jc w:val="both"/>
        <w:rPr>
          <w:color w:val="008000"/>
          <w:sz w:val="20"/>
        </w:rPr>
      </w:pPr>
    </w:p>
    <w:p w:rsidR="00750740" w:rsidRPr="00A74DC4" w:rsidRDefault="00D57AD8" w:rsidP="003E7CF5">
      <w:pPr>
        <w:spacing w:before="0" w:after="0"/>
        <w:jc w:val="both"/>
        <w:rPr>
          <w:b w:val="0"/>
          <w:color w:val="008000"/>
          <w:sz w:val="20"/>
        </w:rPr>
      </w:pPr>
      <w:r w:rsidRPr="00A74DC4">
        <w:rPr>
          <w:b w:val="0"/>
          <w:color w:val="008000"/>
          <w:sz w:val="20"/>
        </w:rPr>
        <w:t xml:space="preserve">1. január 2014 </w:t>
      </w:r>
    </w:p>
    <w:p w:rsidR="00750740" w:rsidRPr="00A74DC4" w:rsidRDefault="00750740" w:rsidP="003E7CF5">
      <w:pPr>
        <w:spacing w:before="0" w:after="0"/>
        <w:jc w:val="both"/>
        <w:rPr>
          <w:color w:val="008000"/>
          <w:sz w:val="20"/>
        </w:rPr>
      </w:pPr>
    </w:p>
    <w:p w:rsidR="00E95173" w:rsidRPr="00A74DC4" w:rsidRDefault="00E95173" w:rsidP="003E7CF5">
      <w:pPr>
        <w:spacing w:before="0" w:after="0"/>
        <w:jc w:val="both"/>
        <w:rPr>
          <w:color w:val="008000"/>
          <w:sz w:val="20"/>
        </w:rPr>
      </w:pPr>
    </w:p>
    <w:p w:rsidR="00750740" w:rsidRPr="00A74DC4" w:rsidRDefault="00750740" w:rsidP="003E7CF5">
      <w:pPr>
        <w:spacing w:before="0" w:after="0"/>
        <w:jc w:val="both"/>
        <w:rPr>
          <w:color w:val="008000"/>
          <w:sz w:val="20"/>
        </w:rPr>
      </w:pPr>
      <w:r w:rsidRPr="00A74DC4">
        <w:rPr>
          <w:color w:val="008000"/>
          <w:sz w:val="20"/>
        </w:rPr>
        <w:t>Plánovaný rozpočet programu:</w:t>
      </w:r>
    </w:p>
    <w:p w:rsidR="003E7CF5" w:rsidRPr="00A74DC4" w:rsidRDefault="003E7CF5" w:rsidP="003E7CF5">
      <w:pPr>
        <w:spacing w:before="0" w:after="0"/>
        <w:jc w:val="both"/>
        <w:rPr>
          <w:color w:val="008000"/>
          <w:sz w:val="20"/>
        </w:rPr>
      </w:pPr>
    </w:p>
    <w:p w:rsidR="00750740" w:rsidRPr="00A74DC4" w:rsidRDefault="00750740" w:rsidP="003E7CF5">
      <w:pPr>
        <w:spacing w:before="0" w:after="0"/>
        <w:jc w:val="both"/>
        <w:rPr>
          <w:b w:val="0"/>
          <w:color w:val="008000"/>
          <w:sz w:val="20"/>
        </w:rPr>
      </w:pPr>
      <w:r w:rsidRPr="00A74DC4">
        <w:rPr>
          <w:b w:val="0"/>
          <w:color w:val="008000"/>
          <w:sz w:val="20"/>
        </w:rPr>
        <w:t>80 mld. EUR</w:t>
      </w:r>
    </w:p>
    <w:p w:rsidR="00D57AD8" w:rsidRPr="00A74DC4" w:rsidRDefault="00D57AD8" w:rsidP="003E7CF5">
      <w:pPr>
        <w:spacing w:before="0" w:after="0"/>
        <w:jc w:val="both"/>
        <w:rPr>
          <w:b w:val="0"/>
          <w:color w:val="008000"/>
          <w:sz w:val="20"/>
        </w:rPr>
      </w:pPr>
    </w:p>
    <w:p w:rsidR="00750740" w:rsidRPr="00A74DC4" w:rsidRDefault="00750740" w:rsidP="003E7CF5">
      <w:pPr>
        <w:spacing w:before="0" w:after="0"/>
        <w:jc w:val="both"/>
        <w:rPr>
          <w:b w:val="0"/>
          <w:color w:val="008000"/>
          <w:sz w:val="20"/>
        </w:rPr>
      </w:pPr>
    </w:p>
    <w:p w:rsidR="00E95173" w:rsidRPr="00A74DC4" w:rsidRDefault="00E95173" w:rsidP="00E95173">
      <w:pPr>
        <w:spacing w:before="0" w:after="0"/>
        <w:jc w:val="both"/>
        <w:rPr>
          <w:color w:val="008000"/>
          <w:sz w:val="20"/>
        </w:rPr>
      </w:pPr>
      <w:r w:rsidRPr="00A74DC4">
        <w:rPr>
          <w:color w:val="008000"/>
          <w:sz w:val="20"/>
        </w:rPr>
        <w:t>Ciele programu a rozloženie rozpočtu:</w:t>
      </w:r>
    </w:p>
    <w:p w:rsidR="00080E46" w:rsidRPr="00A74DC4" w:rsidRDefault="00080E46" w:rsidP="00E95173">
      <w:pPr>
        <w:spacing w:before="0" w:after="0"/>
        <w:jc w:val="both"/>
        <w:rPr>
          <w:color w:val="008000"/>
          <w:sz w:val="20"/>
        </w:rPr>
      </w:pPr>
    </w:p>
    <w:p w:rsidR="00E95173" w:rsidRPr="00A74DC4" w:rsidRDefault="00E95173" w:rsidP="00E95173">
      <w:pPr>
        <w:spacing w:before="0" w:after="0"/>
        <w:jc w:val="both"/>
        <w:rPr>
          <w:b w:val="0"/>
          <w:color w:val="008000"/>
          <w:sz w:val="20"/>
        </w:rPr>
      </w:pPr>
      <w:r w:rsidRPr="00A74DC4">
        <w:rPr>
          <w:b w:val="0"/>
          <w:color w:val="008000"/>
          <w:sz w:val="20"/>
        </w:rPr>
        <w:t xml:space="preserve">- posilniť pozíciu EÚ v oblasti vedy (vyčlenených </w:t>
      </w:r>
      <w:r w:rsidRPr="00A74DC4">
        <w:rPr>
          <w:color w:val="008000"/>
          <w:sz w:val="20"/>
        </w:rPr>
        <w:t>24 598 mil. EUR</w:t>
      </w:r>
      <w:r w:rsidRPr="00A74DC4">
        <w:rPr>
          <w:b w:val="0"/>
          <w:color w:val="008000"/>
          <w:sz w:val="20"/>
        </w:rPr>
        <w:t>), vrátane navýšenia rozpočtu pre Európsku radu pre výskum (</w:t>
      </w:r>
      <w:proofErr w:type="spellStart"/>
      <w:r w:rsidRPr="00A74DC4">
        <w:rPr>
          <w:b w:val="0"/>
          <w:color w:val="008000"/>
          <w:sz w:val="20"/>
        </w:rPr>
        <w:t>European</w:t>
      </w:r>
      <w:proofErr w:type="spellEnd"/>
      <w:r w:rsidRPr="00A74DC4">
        <w:rPr>
          <w:b w:val="0"/>
          <w:color w:val="008000"/>
          <w:sz w:val="20"/>
        </w:rPr>
        <w:t xml:space="preserve"> </w:t>
      </w:r>
      <w:proofErr w:type="spellStart"/>
      <w:r w:rsidRPr="00A74DC4">
        <w:rPr>
          <w:b w:val="0"/>
          <w:color w:val="008000"/>
          <w:sz w:val="20"/>
        </w:rPr>
        <w:t>Research</w:t>
      </w:r>
      <w:proofErr w:type="spellEnd"/>
      <w:r w:rsidRPr="00A74DC4">
        <w:rPr>
          <w:b w:val="0"/>
          <w:color w:val="008000"/>
          <w:sz w:val="20"/>
        </w:rPr>
        <w:t xml:space="preserve"> </w:t>
      </w:r>
      <w:proofErr w:type="spellStart"/>
      <w:r w:rsidRPr="00A74DC4">
        <w:rPr>
          <w:b w:val="0"/>
          <w:color w:val="008000"/>
          <w:sz w:val="20"/>
        </w:rPr>
        <w:t>Council</w:t>
      </w:r>
      <w:proofErr w:type="spellEnd"/>
      <w:r w:rsidRPr="00A74DC4">
        <w:rPr>
          <w:b w:val="0"/>
          <w:color w:val="008000"/>
          <w:sz w:val="20"/>
        </w:rPr>
        <w:t>, ERC – poskytuje granty pre jednotlivých výskumníkov)</w:t>
      </w:r>
    </w:p>
    <w:p w:rsidR="00E95173" w:rsidRPr="00A74DC4" w:rsidRDefault="00E95173" w:rsidP="00E95173">
      <w:pPr>
        <w:spacing w:before="0" w:after="0"/>
        <w:jc w:val="both"/>
        <w:rPr>
          <w:b w:val="0"/>
          <w:color w:val="008000"/>
          <w:sz w:val="20"/>
        </w:rPr>
      </w:pPr>
      <w:r w:rsidRPr="00A74DC4">
        <w:rPr>
          <w:b w:val="0"/>
          <w:color w:val="008000"/>
          <w:sz w:val="20"/>
        </w:rPr>
        <w:t xml:space="preserve">- posilniť vedúce postavenie o oblasti inovácií v priemysle (vyčlenených </w:t>
      </w:r>
      <w:r w:rsidRPr="00A74DC4">
        <w:rPr>
          <w:color w:val="008000"/>
          <w:sz w:val="20"/>
        </w:rPr>
        <w:t>17 938 mil. EUR</w:t>
      </w:r>
      <w:r w:rsidRPr="00A74DC4">
        <w:rPr>
          <w:b w:val="0"/>
          <w:color w:val="008000"/>
          <w:sz w:val="20"/>
        </w:rPr>
        <w:t>), vrátane investícií do kľúčových technológií a umožnenia prístupu malým a stredným podnikom k financovaniu (úverovanie, záruky a pod.)</w:t>
      </w:r>
    </w:p>
    <w:p w:rsidR="00E95173" w:rsidRPr="00A74DC4" w:rsidRDefault="00E95173" w:rsidP="00E95173">
      <w:pPr>
        <w:spacing w:before="0" w:after="0"/>
        <w:jc w:val="both"/>
        <w:rPr>
          <w:b w:val="0"/>
          <w:color w:val="008000"/>
          <w:sz w:val="20"/>
        </w:rPr>
      </w:pPr>
      <w:r w:rsidRPr="00A74DC4">
        <w:rPr>
          <w:b w:val="0"/>
          <w:color w:val="008000"/>
          <w:sz w:val="20"/>
        </w:rPr>
        <w:t xml:space="preserve">- zameranie sa na kľúčové spoločenské témy, vrátane klimatických zmien, rozvoj udržateľnej dopravy a mobility, obnoviteľné zdroje, potravinovú bezpečnosť a starnutie populácie (vyčlenených </w:t>
      </w:r>
      <w:r w:rsidRPr="00A74DC4">
        <w:rPr>
          <w:color w:val="008000"/>
          <w:sz w:val="20"/>
        </w:rPr>
        <w:t>31 748 mil. EUR</w:t>
      </w:r>
      <w:r w:rsidRPr="00A74DC4">
        <w:rPr>
          <w:b w:val="0"/>
          <w:color w:val="008000"/>
          <w:sz w:val="20"/>
        </w:rPr>
        <w:t>)</w:t>
      </w:r>
    </w:p>
    <w:p w:rsidR="00E95173" w:rsidRPr="00A74DC4" w:rsidRDefault="00E95173" w:rsidP="00E95173">
      <w:pPr>
        <w:spacing w:before="0" w:after="0"/>
        <w:jc w:val="both"/>
        <w:rPr>
          <w:b w:val="0"/>
          <w:color w:val="008000"/>
          <w:sz w:val="20"/>
        </w:rPr>
      </w:pPr>
    </w:p>
    <w:p w:rsidR="00E95173" w:rsidRPr="00A74DC4" w:rsidRDefault="00E95173" w:rsidP="00E95173">
      <w:pPr>
        <w:spacing w:before="0" w:after="0"/>
        <w:jc w:val="both"/>
        <w:rPr>
          <w:b w:val="0"/>
          <w:color w:val="008000"/>
          <w:sz w:val="20"/>
        </w:rPr>
      </w:pPr>
    </w:p>
    <w:p w:rsidR="00E95173" w:rsidRPr="00A74DC4" w:rsidRDefault="00E95173" w:rsidP="00E95173">
      <w:pPr>
        <w:spacing w:before="0" w:after="0"/>
        <w:jc w:val="both"/>
        <w:rPr>
          <w:color w:val="008000"/>
          <w:sz w:val="20"/>
        </w:rPr>
      </w:pPr>
      <w:r w:rsidRPr="00A74DC4">
        <w:rPr>
          <w:color w:val="008000"/>
          <w:sz w:val="20"/>
        </w:rPr>
        <w:t>Prioritné oblasti programu:</w:t>
      </w:r>
    </w:p>
    <w:p w:rsidR="00080E46" w:rsidRPr="00A74DC4" w:rsidRDefault="00080E46" w:rsidP="00E95173">
      <w:pPr>
        <w:spacing w:before="0" w:after="0"/>
        <w:jc w:val="both"/>
        <w:rPr>
          <w:color w:val="008000"/>
          <w:sz w:val="20"/>
        </w:rPr>
      </w:pPr>
    </w:p>
    <w:p w:rsidR="00E95173" w:rsidRPr="00A74DC4" w:rsidRDefault="00E95173" w:rsidP="00E95173">
      <w:pPr>
        <w:spacing w:before="0" w:after="0"/>
        <w:jc w:val="both"/>
        <w:rPr>
          <w:b w:val="0"/>
          <w:color w:val="008000"/>
          <w:sz w:val="20"/>
        </w:rPr>
      </w:pPr>
      <w:r w:rsidRPr="00A74DC4">
        <w:rPr>
          <w:b w:val="0"/>
          <w:color w:val="008000"/>
          <w:sz w:val="20"/>
        </w:rPr>
        <w:t>1. Excelentná veda (31,73% rozpočtu)</w:t>
      </w:r>
    </w:p>
    <w:p w:rsidR="00E95173" w:rsidRPr="00A74DC4" w:rsidRDefault="00E95173" w:rsidP="00E95173">
      <w:pPr>
        <w:spacing w:before="0" w:after="0"/>
        <w:jc w:val="both"/>
        <w:rPr>
          <w:b w:val="0"/>
          <w:color w:val="008000"/>
          <w:sz w:val="20"/>
        </w:rPr>
      </w:pPr>
      <w:r w:rsidRPr="00A74DC4">
        <w:rPr>
          <w:b w:val="0"/>
          <w:color w:val="008000"/>
          <w:sz w:val="20"/>
        </w:rPr>
        <w:t>2. Konkurencieschopný priemysel (22,09% rozpočtu)</w:t>
      </w:r>
    </w:p>
    <w:p w:rsidR="00E95173" w:rsidRPr="00A74DC4" w:rsidRDefault="00E95173" w:rsidP="00E95173">
      <w:pPr>
        <w:spacing w:before="0" w:after="0"/>
        <w:jc w:val="both"/>
        <w:rPr>
          <w:b w:val="0"/>
          <w:color w:val="008000"/>
          <w:sz w:val="20"/>
        </w:rPr>
      </w:pPr>
      <w:r w:rsidRPr="00A74DC4">
        <w:rPr>
          <w:b w:val="0"/>
          <w:color w:val="008000"/>
          <w:sz w:val="20"/>
        </w:rPr>
        <w:t>3. Lepšia spoločnosť (38,53% rozpočtu)</w:t>
      </w:r>
    </w:p>
    <w:p w:rsidR="00E95173" w:rsidRPr="00A74DC4" w:rsidRDefault="00E95173" w:rsidP="00E95173">
      <w:pPr>
        <w:spacing w:before="0" w:after="0"/>
        <w:jc w:val="both"/>
        <w:rPr>
          <w:b w:val="0"/>
          <w:color w:val="008000"/>
          <w:sz w:val="20"/>
        </w:rPr>
      </w:pPr>
    </w:p>
    <w:p w:rsidR="00E95173" w:rsidRPr="00A74DC4" w:rsidRDefault="00E95173" w:rsidP="00E95173">
      <w:pPr>
        <w:spacing w:before="0" w:after="0"/>
        <w:jc w:val="both"/>
        <w:rPr>
          <w:b w:val="0"/>
          <w:color w:val="008000"/>
          <w:sz w:val="20"/>
        </w:rPr>
      </w:pPr>
      <w:r w:rsidRPr="00A74DC4">
        <w:rPr>
          <w:b w:val="0"/>
          <w:color w:val="008000"/>
          <w:sz w:val="20"/>
        </w:rPr>
        <w:t>Zvyšok rozpočtu pôjde na nasledujúce iniciatívy a programy (nie formou dotácií)</w:t>
      </w:r>
    </w:p>
    <w:p w:rsidR="00E95173" w:rsidRPr="00A74DC4" w:rsidRDefault="00E95173" w:rsidP="00E95173">
      <w:pPr>
        <w:spacing w:before="0" w:after="0"/>
        <w:jc w:val="both"/>
        <w:rPr>
          <w:b w:val="0"/>
          <w:color w:val="008000"/>
          <w:sz w:val="20"/>
        </w:rPr>
      </w:pPr>
      <w:r w:rsidRPr="00A74DC4">
        <w:rPr>
          <w:b w:val="0"/>
          <w:color w:val="008000"/>
          <w:sz w:val="20"/>
        </w:rPr>
        <w:t>- Rozširovanie poznatkov o vede a účasti na vede (1,06% rozpočtu)</w:t>
      </w:r>
    </w:p>
    <w:p w:rsidR="00E95173" w:rsidRPr="00A74DC4" w:rsidRDefault="00E95173" w:rsidP="00E95173">
      <w:pPr>
        <w:spacing w:before="0" w:after="0"/>
        <w:jc w:val="both"/>
        <w:rPr>
          <w:b w:val="0"/>
          <w:color w:val="008000"/>
          <w:sz w:val="20"/>
        </w:rPr>
      </w:pPr>
      <w:r w:rsidRPr="00A74DC4">
        <w:rPr>
          <w:b w:val="0"/>
          <w:color w:val="008000"/>
          <w:sz w:val="20"/>
        </w:rPr>
        <w:t>- Veda s a pre spoločnosť (0,60%)</w:t>
      </w:r>
    </w:p>
    <w:p w:rsidR="00E95173" w:rsidRPr="00A74DC4" w:rsidRDefault="00E95173" w:rsidP="00E95173">
      <w:pPr>
        <w:spacing w:before="0" w:after="0"/>
        <w:jc w:val="both"/>
        <w:rPr>
          <w:b w:val="0"/>
          <w:color w:val="008000"/>
          <w:sz w:val="20"/>
        </w:rPr>
      </w:pPr>
      <w:r w:rsidRPr="00A74DC4">
        <w:rPr>
          <w:b w:val="0"/>
          <w:color w:val="008000"/>
          <w:sz w:val="20"/>
        </w:rPr>
        <w:t>- Európsky inštitút pre inováciu a technológie (3,52%)</w:t>
      </w:r>
    </w:p>
    <w:p w:rsidR="00E95173" w:rsidRPr="00A74DC4" w:rsidRDefault="00E95173" w:rsidP="00E95173">
      <w:pPr>
        <w:spacing w:before="0" w:after="0"/>
        <w:jc w:val="both"/>
        <w:rPr>
          <w:b w:val="0"/>
          <w:color w:val="008000"/>
          <w:sz w:val="20"/>
        </w:rPr>
      </w:pPr>
      <w:r w:rsidRPr="00A74DC4">
        <w:rPr>
          <w:b w:val="0"/>
          <w:color w:val="008000"/>
          <w:sz w:val="20"/>
        </w:rPr>
        <w:t xml:space="preserve">- Spoločné výskumné centrum: </w:t>
      </w:r>
      <w:proofErr w:type="spellStart"/>
      <w:r w:rsidRPr="00A74DC4">
        <w:rPr>
          <w:b w:val="0"/>
          <w:color w:val="008000"/>
          <w:sz w:val="20"/>
        </w:rPr>
        <w:t>ne-jadrové</w:t>
      </w:r>
      <w:proofErr w:type="spellEnd"/>
      <w:r w:rsidRPr="00A74DC4">
        <w:rPr>
          <w:b w:val="0"/>
          <w:color w:val="008000"/>
          <w:sz w:val="20"/>
        </w:rPr>
        <w:t xml:space="preserve"> priame aktivity (2,47%)</w:t>
      </w:r>
    </w:p>
    <w:p w:rsidR="00E95173" w:rsidRPr="00A74DC4" w:rsidRDefault="00E95173" w:rsidP="00E95173">
      <w:pPr>
        <w:spacing w:before="0" w:after="0"/>
        <w:jc w:val="both"/>
        <w:rPr>
          <w:b w:val="0"/>
          <w:color w:val="008000"/>
          <w:sz w:val="20"/>
        </w:rPr>
      </w:pPr>
    </w:p>
    <w:p w:rsidR="00E95173" w:rsidRPr="00A74DC4" w:rsidRDefault="00E95173" w:rsidP="00E95173">
      <w:pPr>
        <w:spacing w:before="0" w:after="0"/>
        <w:jc w:val="both"/>
        <w:rPr>
          <w:b w:val="0"/>
          <w:color w:val="008000"/>
          <w:sz w:val="20"/>
        </w:rPr>
      </w:pPr>
      <w:r w:rsidRPr="00A74DC4">
        <w:rPr>
          <w:b w:val="0"/>
          <w:color w:val="008000"/>
          <w:sz w:val="20"/>
        </w:rPr>
        <w:t>Prioritné oblasti programu nadväzujú na priority stratégie Európa 2020 a iniciatívy Inovácia v EÚ (</w:t>
      </w:r>
      <w:proofErr w:type="spellStart"/>
      <w:r w:rsidRPr="00A74DC4">
        <w:rPr>
          <w:b w:val="0"/>
          <w:color w:val="008000"/>
          <w:sz w:val="20"/>
        </w:rPr>
        <w:t>Innovation</w:t>
      </w:r>
      <w:proofErr w:type="spellEnd"/>
      <w:r w:rsidRPr="00A74DC4">
        <w:rPr>
          <w:b w:val="0"/>
          <w:color w:val="008000"/>
          <w:sz w:val="20"/>
        </w:rPr>
        <w:t xml:space="preserve"> </w:t>
      </w:r>
      <w:proofErr w:type="spellStart"/>
      <w:r w:rsidRPr="00A74DC4">
        <w:rPr>
          <w:b w:val="0"/>
          <w:color w:val="008000"/>
          <w:sz w:val="20"/>
        </w:rPr>
        <w:t>Union</w:t>
      </w:r>
      <w:proofErr w:type="spellEnd"/>
      <w:r w:rsidRPr="00A74DC4">
        <w:rPr>
          <w:b w:val="0"/>
          <w:color w:val="008000"/>
          <w:sz w:val="20"/>
        </w:rPr>
        <w:t>).</w:t>
      </w:r>
    </w:p>
    <w:p w:rsidR="00E95173" w:rsidRPr="00A74DC4" w:rsidRDefault="00E95173" w:rsidP="00E95173">
      <w:pPr>
        <w:spacing w:before="0" w:after="0"/>
        <w:jc w:val="both"/>
        <w:rPr>
          <w:b w:val="0"/>
          <w:color w:val="008000"/>
          <w:sz w:val="20"/>
        </w:rPr>
      </w:pPr>
    </w:p>
    <w:p w:rsidR="00E95173" w:rsidRPr="00A74DC4" w:rsidRDefault="00E95173" w:rsidP="00E95173">
      <w:pPr>
        <w:spacing w:before="0" w:after="0"/>
        <w:jc w:val="both"/>
        <w:rPr>
          <w:b w:val="0"/>
          <w:color w:val="008000"/>
          <w:sz w:val="20"/>
        </w:rPr>
      </w:pPr>
    </w:p>
    <w:p w:rsidR="00E95173" w:rsidRPr="00A74DC4" w:rsidRDefault="00E95173" w:rsidP="00E95173">
      <w:pPr>
        <w:spacing w:before="0" w:after="0"/>
        <w:jc w:val="both"/>
        <w:rPr>
          <w:color w:val="008000"/>
          <w:sz w:val="20"/>
        </w:rPr>
      </w:pPr>
      <w:r w:rsidRPr="00A74DC4">
        <w:rPr>
          <w:color w:val="008000"/>
          <w:sz w:val="20"/>
        </w:rPr>
        <w:t>1. Excelentná veda</w:t>
      </w:r>
    </w:p>
    <w:p w:rsidR="00080E46" w:rsidRPr="00A74DC4" w:rsidRDefault="00080E46" w:rsidP="00E95173">
      <w:pPr>
        <w:spacing w:before="0" w:after="0"/>
        <w:jc w:val="both"/>
        <w:rPr>
          <w:color w:val="008000"/>
          <w:sz w:val="20"/>
        </w:rPr>
      </w:pPr>
    </w:p>
    <w:p w:rsidR="00E95173" w:rsidRPr="00A74DC4" w:rsidRDefault="00E95173" w:rsidP="00E95173">
      <w:pPr>
        <w:spacing w:before="0" w:after="0"/>
        <w:jc w:val="both"/>
        <w:rPr>
          <w:b w:val="0"/>
          <w:color w:val="008000"/>
          <w:sz w:val="20"/>
        </w:rPr>
      </w:pPr>
      <w:r w:rsidRPr="00A74DC4">
        <w:rPr>
          <w:b w:val="0"/>
          <w:color w:val="008000"/>
          <w:sz w:val="20"/>
        </w:rPr>
        <w:t xml:space="preserve">Tento cieľ je zameraný na zvýšenie </w:t>
      </w:r>
      <w:proofErr w:type="spellStart"/>
      <w:r w:rsidRPr="00A74DC4">
        <w:rPr>
          <w:b w:val="0"/>
          <w:color w:val="008000"/>
          <w:sz w:val="20"/>
        </w:rPr>
        <w:t>excelentnosti</w:t>
      </w:r>
      <w:proofErr w:type="spellEnd"/>
      <w:r w:rsidRPr="00A74DC4">
        <w:rPr>
          <w:b w:val="0"/>
          <w:color w:val="008000"/>
          <w:sz w:val="20"/>
        </w:rPr>
        <w:t xml:space="preserve"> vedeckej základne Európy a zaistenie stáleho toku výskumu svetovej úrovne s cieľom zabezpečiť dlhodobú konkurencieschopnosť Európy. Tento cieľ bude slúžiť na podporu najlepších myšlienok, rozvoj talentov v Európe, sprístupnenie prioritnej výskumnej infraštruktúry pre výskumných pracovníkov a na zatraktívnenie Európy pre najlepších svetových výskumných pracovníkov.</w:t>
      </w:r>
    </w:p>
    <w:p w:rsidR="00E95173" w:rsidRPr="00A74DC4" w:rsidRDefault="00E95173" w:rsidP="00E95173">
      <w:pPr>
        <w:spacing w:before="0" w:after="0"/>
        <w:jc w:val="both"/>
        <w:rPr>
          <w:b w:val="0"/>
          <w:color w:val="008000"/>
          <w:sz w:val="20"/>
        </w:rPr>
      </w:pPr>
    </w:p>
    <w:p w:rsidR="00E95173" w:rsidRPr="00A74DC4" w:rsidRDefault="00E95173" w:rsidP="00E95173">
      <w:pPr>
        <w:spacing w:before="0" w:after="0"/>
        <w:jc w:val="both"/>
        <w:rPr>
          <w:color w:val="008000"/>
          <w:sz w:val="20"/>
        </w:rPr>
      </w:pPr>
      <w:r w:rsidRPr="00A74DC4">
        <w:rPr>
          <w:color w:val="008000"/>
          <w:sz w:val="20"/>
        </w:rPr>
        <w:t>Ciele prioritnej oblasti</w:t>
      </w:r>
    </w:p>
    <w:p w:rsidR="00080E46" w:rsidRPr="00A74DC4" w:rsidRDefault="00080E46" w:rsidP="00E95173">
      <w:pPr>
        <w:spacing w:before="0" w:after="0"/>
        <w:jc w:val="both"/>
        <w:rPr>
          <w:color w:val="008000"/>
          <w:sz w:val="20"/>
        </w:rPr>
      </w:pPr>
    </w:p>
    <w:p w:rsidR="00E95173" w:rsidRPr="00A74DC4" w:rsidRDefault="00E95173" w:rsidP="00E95173">
      <w:pPr>
        <w:spacing w:before="0" w:after="0"/>
        <w:jc w:val="both"/>
        <w:rPr>
          <w:b w:val="0"/>
          <w:color w:val="008000"/>
          <w:sz w:val="20"/>
        </w:rPr>
      </w:pPr>
      <w:r w:rsidRPr="00A74DC4">
        <w:rPr>
          <w:b w:val="0"/>
          <w:color w:val="008000"/>
          <w:sz w:val="20"/>
        </w:rPr>
        <w:t>- zabezpečiť podporu najtalentovanejších a najkreatívnejších jednotlivcov a ich tímov pri realizácii hraničného výskumu najvyššej kvality pomocou využitia úspechov Európskej rady pre výskum (ERC);</w:t>
      </w:r>
    </w:p>
    <w:p w:rsidR="00080E46" w:rsidRPr="00A74DC4" w:rsidRDefault="00080E46" w:rsidP="00E95173">
      <w:pPr>
        <w:spacing w:before="0" w:after="0"/>
        <w:jc w:val="both"/>
        <w:rPr>
          <w:b w:val="0"/>
          <w:color w:val="008000"/>
          <w:sz w:val="20"/>
        </w:rPr>
      </w:pPr>
    </w:p>
    <w:p w:rsidR="00080E46" w:rsidRPr="00A74DC4" w:rsidRDefault="00080E46" w:rsidP="00E95173">
      <w:pPr>
        <w:spacing w:before="0" w:after="0"/>
        <w:jc w:val="both"/>
        <w:rPr>
          <w:b w:val="0"/>
          <w:color w:val="008000"/>
          <w:sz w:val="20"/>
        </w:rPr>
      </w:pPr>
    </w:p>
    <w:p w:rsidR="00080E46" w:rsidRPr="00A74DC4" w:rsidRDefault="00080E46" w:rsidP="00E95173">
      <w:pPr>
        <w:spacing w:before="0" w:after="0"/>
        <w:jc w:val="both"/>
        <w:rPr>
          <w:b w:val="0"/>
          <w:color w:val="008000"/>
          <w:sz w:val="20"/>
        </w:rPr>
      </w:pPr>
    </w:p>
    <w:p w:rsidR="00E95173" w:rsidRPr="00A74DC4" w:rsidRDefault="00E95173" w:rsidP="00E95173">
      <w:pPr>
        <w:spacing w:before="0" w:after="0"/>
        <w:jc w:val="both"/>
        <w:rPr>
          <w:b w:val="0"/>
          <w:color w:val="008000"/>
          <w:sz w:val="20"/>
        </w:rPr>
      </w:pPr>
      <w:r w:rsidRPr="00A74DC4">
        <w:rPr>
          <w:b w:val="0"/>
          <w:color w:val="008000"/>
          <w:sz w:val="20"/>
        </w:rPr>
        <w:t>- zabezpečiť financovanie spoločného výskumu s cieľom stimulovať nové a sľubné oblasti výskumu a inovácie prostredníctvom podpory pre budúce a vznikajúce technológie (pôvodný 7. rámcový program)</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Symbol"/>
          <w:b w:val="0"/>
          <w:color w:val="008000"/>
          <w:sz w:val="20"/>
        </w:rPr>
        <w:t xml:space="preserve">- </w:t>
      </w:r>
      <w:r w:rsidRPr="00A74DC4">
        <w:rPr>
          <w:rFonts w:cs="TimesNewRoman"/>
          <w:b w:val="0"/>
          <w:color w:val="008000"/>
          <w:sz w:val="20"/>
        </w:rPr>
        <w:t xml:space="preserve">poskytnúť výskumným pracovníkom vysokokvalitnú odbornú prípravu a príležitosti na rozvoj kariéry prostredníctvom </w:t>
      </w:r>
      <w:r w:rsidRPr="00A74DC4">
        <w:rPr>
          <w:rFonts w:cs="TimesNewRoman,Italic"/>
          <w:b w:val="0"/>
          <w:i/>
          <w:iCs/>
          <w:color w:val="008000"/>
          <w:sz w:val="20"/>
        </w:rPr>
        <w:t xml:space="preserve">akcií </w:t>
      </w:r>
      <w:proofErr w:type="spellStart"/>
      <w:r w:rsidRPr="00A74DC4">
        <w:rPr>
          <w:rFonts w:cs="TimesNewRoman,Italic"/>
          <w:b w:val="0"/>
          <w:i/>
          <w:iCs/>
          <w:color w:val="008000"/>
          <w:sz w:val="20"/>
        </w:rPr>
        <w:t>Marie</w:t>
      </w:r>
      <w:proofErr w:type="spellEnd"/>
      <w:r w:rsidRPr="00A74DC4">
        <w:rPr>
          <w:rFonts w:cs="TimesNewRoman,Italic"/>
          <w:b w:val="0"/>
          <w:i/>
          <w:iCs/>
          <w:color w:val="008000"/>
          <w:sz w:val="20"/>
        </w:rPr>
        <w:t xml:space="preserve"> </w:t>
      </w:r>
      <w:proofErr w:type="spellStart"/>
      <w:r w:rsidRPr="00A74DC4">
        <w:rPr>
          <w:rFonts w:cs="TimesNewRoman,Italic"/>
          <w:b w:val="0"/>
          <w:i/>
          <w:iCs/>
          <w:color w:val="008000"/>
          <w:sz w:val="20"/>
        </w:rPr>
        <w:t>Skłodowska-Curie</w:t>
      </w:r>
      <w:proofErr w:type="spellEnd"/>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Symbol"/>
          <w:b w:val="0"/>
          <w:color w:val="008000"/>
          <w:sz w:val="20"/>
        </w:rPr>
        <w:t xml:space="preserve">- </w:t>
      </w:r>
      <w:r w:rsidRPr="00A74DC4">
        <w:rPr>
          <w:rFonts w:cs="TimesNewRoman"/>
          <w:b w:val="0"/>
          <w:color w:val="008000"/>
          <w:sz w:val="20"/>
        </w:rPr>
        <w:t xml:space="preserve">zabezpečiť, aby Európa mala </w:t>
      </w:r>
      <w:r w:rsidRPr="00A74DC4">
        <w:rPr>
          <w:rFonts w:cs="TimesNewRoman,Italic"/>
          <w:b w:val="0"/>
          <w:i/>
          <w:iCs/>
          <w:color w:val="008000"/>
          <w:sz w:val="20"/>
        </w:rPr>
        <w:t xml:space="preserve">výskumné infraštruktúry </w:t>
      </w:r>
      <w:r w:rsidRPr="00A74DC4">
        <w:rPr>
          <w:rFonts w:cs="TimesNewRoman"/>
          <w:b w:val="0"/>
          <w:color w:val="008000"/>
          <w:sz w:val="20"/>
        </w:rPr>
        <w:t>(vrátane elektronických infraštruktúr) na svetovej úrovni, ktoré sú dostupné pre všetkých výskumných pracovníkov v Európe a mimo nej;</w:t>
      </w:r>
    </w:p>
    <w:p w:rsidR="00E95173" w:rsidRPr="00A74DC4" w:rsidRDefault="00E95173" w:rsidP="00E95173">
      <w:pPr>
        <w:autoSpaceDE w:val="0"/>
        <w:autoSpaceDN w:val="0"/>
        <w:adjustRightInd w:val="0"/>
        <w:spacing w:before="0" w:after="0"/>
        <w:jc w:val="both"/>
        <w:rPr>
          <w:rFonts w:cs="TimesNewRoman"/>
          <w:b w:val="0"/>
          <w:color w:val="008000"/>
          <w:sz w:val="20"/>
        </w:rPr>
      </w:pP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Medzi hlavné programy tejto priority patria:</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xml:space="preserve">- Program </w:t>
      </w:r>
      <w:proofErr w:type="spellStart"/>
      <w:r w:rsidRPr="00A74DC4">
        <w:rPr>
          <w:rFonts w:cs="TimesNewRoman"/>
          <w:b w:val="0"/>
          <w:color w:val="008000"/>
          <w:sz w:val="20"/>
        </w:rPr>
        <w:t>Marie</w:t>
      </w:r>
      <w:proofErr w:type="spellEnd"/>
      <w:r w:rsidRPr="00A74DC4">
        <w:rPr>
          <w:rFonts w:cs="TimesNewRoman"/>
          <w:b w:val="0"/>
          <w:color w:val="008000"/>
          <w:sz w:val="20"/>
        </w:rPr>
        <w:t xml:space="preserve"> </w:t>
      </w:r>
      <w:proofErr w:type="spellStart"/>
      <w:r w:rsidRPr="00A74DC4">
        <w:rPr>
          <w:rFonts w:cs="TimesNewRoman"/>
          <w:b w:val="0"/>
          <w:color w:val="008000"/>
          <w:sz w:val="20"/>
        </w:rPr>
        <w:t>Curie</w:t>
      </w:r>
      <w:proofErr w:type="spellEnd"/>
      <w:r w:rsidRPr="00A74DC4">
        <w:rPr>
          <w:rFonts w:cs="TimesNewRoman"/>
          <w:b w:val="0"/>
          <w:color w:val="008000"/>
          <w:sz w:val="20"/>
        </w:rPr>
        <w:t xml:space="preserve"> (8% rozpočtu)</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Budúce a nové technológie (3,5%)</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Európska výskumná rada (17%)</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výskumná infraštruktúra (3,23%)</w:t>
      </w:r>
    </w:p>
    <w:p w:rsidR="00E95173" w:rsidRPr="00A74DC4" w:rsidRDefault="00E95173" w:rsidP="00E95173">
      <w:pPr>
        <w:autoSpaceDE w:val="0"/>
        <w:autoSpaceDN w:val="0"/>
        <w:adjustRightInd w:val="0"/>
        <w:spacing w:before="0" w:after="0"/>
        <w:jc w:val="both"/>
        <w:rPr>
          <w:rFonts w:cs="TimesNewRoman"/>
          <w:b w:val="0"/>
          <w:color w:val="008000"/>
          <w:sz w:val="20"/>
        </w:rPr>
      </w:pP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Podobne ako pri siedmom rámcovom programe, budú neskôr špecifikované jednotlivé podprogramy.</w:t>
      </w:r>
    </w:p>
    <w:p w:rsidR="00E95173" w:rsidRPr="00A74DC4" w:rsidRDefault="00E95173" w:rsidP="00E95173">
      <w:pPr>
        <w:autoSpaceDE w:val="0"/>
        <w:autoSpaceDN w:val="0"/>
        <w:adjustRightInd w:val="0"/>
        <w:spacing w:before="0" w:after="0"/>
        <w:jc w:val="both"/>
        <w:rPr>
          <w:rFonts w:cs="TimesNewRoman"/>
          <w:b w:val="0"/>
          <w:color w:val="008000"/>
          <w:sz w:val="20"/>
        </w:rPr>
      </w:pPr>
    </w:p>
    <w:p w:rsidR="00E95173" w:rsidRPr="00A74DC4" w:rsidRDefault="00E95173" w:rsidP="00E95173">
      <w:pPr>
        <w:autoSpaceDE w:val="0"/>
        <w:autoSpaceDN w:val="0"/>
        <w:adjustRightInd w:val="0"/>
        <w:spacing w:before="0" w:after="0"/>
        <w:jc w:val="both"/>
        <w:rPr>
          <w:rFonts w:cs="TimesNewRoman"/>
          <w:b w:val="0"/>
          <w:color w:val="008000"/>
          <w:sz w:val="20"/>
        </w:rPr>
      </w:pPr>
    </w:p>
    <w:p w:rsidR="00E95173" w:rsidRPr="00A74DC4" w:rsidRDefault="00E95173" w:rsidP="00E95173">
      <w:pPr>
        <w:autoSpaceDE w:val="0"/>
        <w:autoSpaceDN w:val="0"/>
        <w:adjustRightInd w:val="0"/>
        <w:spacing w:before="0" w:after="0"/>
        <w:jc w:val="both"/>
        <w:rPr>
          <w:rFonts w:cs="TimesNewRoman,Bold"/>
          <w:bCs/>
          <w:color w:val="008000"/>
          <w:sz w:val="20"/>
        </w:rPr>
      </w:pPr>
      <w:r w:rsidRPr="00A74DC4">
        <w:rPr>
          <w:rFonts w:cs="TimesNewRoman"/>
          <w:b w:val="0"/>
          <w:color w:val="008000"/>
          <w:sz w:val="20"/>
        </w:rPr>
        <w:t xml:space="preserve">2. </w:t>
      </w:r>
      <w:r w:rsidRPr="00A74DC4">
        <w:rPr>
          <w:rFonts w:cs="TimesNewRoman,Bold"/>
          <w:bCs/>
          <w:color w:val="008000"/>
          <w:sz w:val="20"/>
        </w:rPr>
        <w:t>Konkurencieschopný priemysel (</w:t>
      </w:r>
      <w:proofErr w:type="spellStart"/>
      <w:r w:rsidRPr="00A74DC4">
        <w:rPr>
          <w:rFonts w:cs="TimesNewRoman,Bold"/>
          <w:bCs/>
          <w:color w:val="008000"/>
          <w:sz w:val="20"/>
        </w:rPr>
        <w:t>Competitive</w:t>
      </w:r>
      <w:proofErr w:type="spellEnd"/>
      <w:r w:rsidRPr="00A74DC4">
        <w:rPr>
          <w:rFonts w:cs="TimesNewRoman,Bold"/>
          <w:bCs/>
          <w:color w:val="008000"/>
          <w:sz w:val="20"/>
        </w:rPr>
        <w:t xml:space="preserve"> </w:t>
      </w:r>
      <w:proofErr w:type="spellStart"/>
      <w:r w:rsidRPr="00A74DC4">
        <w:rPr>
          <w:rFonts w:cs="TimesNewRoman,Bold"/>
          <w:bCs/>
          <w:color w:val="008000"/>
          <w:sz w:val="20"/>
        </w:rPr>
        <w:t>Industries</w:t>
      </w:r>
      <w:proofErr w:type="spellEnd"/>
      <w:r w:rsidRPr="00A74DC4">
        <w:rPr>
          <w:rFonts w:cs="TimesNewRoman,Bold"/>
          <w:bCs/>
          <w:color w:val="008000"/>
          <w:sz w:val="20"/>
        </w:rPr>
        <w:t>)</w:t>
      </w:r>
    </w:p>
    <w:p w:rsidR="00080E46" w:rsidRPr="00A74DC4" w:rsidRDefault="00080E46" w:rsidP="00E95173">
      <w:pPr>
        <w:autoSpaceDE w:val="0"/>
        <w:autoSpaceDN w:val="0"/>
        <w:adjustRightInd w:val="0"/>
        <w:spacing w:before="0" w:after="0"/>
        <w:jc w:val="both"/>
        <w:rPr>
          <w:rFonts w:cs="TimesNewRoman,Bold"/>
          <w:bCs/>
          <w:color w:val="008000"/>
          <w:sz w:val="20"/>
        </w:rPr>
      </w:pP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xml:space="preserve">Zámerom tohto cieľa je urobiť z Európy prostredníctvom podpory činností, ktorých náplň určia podniky, príťažlivejšie miesto z hľadiska investícií do výskumu a inovácií (vrátane </w:t>
      </w:r>
      <w:proofErr w:type="spellStart"/>
      <w:r w:rsidRPr="00A74DC4">
        <w:rPr>
          <w:rFonts w:cs="TimesNewRoman"/>
          <w:b w:val="0"/>
          <w:color w:val="008000"/>
          <w:sz w:val="20"/>
        </w:rPr>
        <w:t>ekoinovácie</w:t>
      </w:r>
      <w:proofErr w:type="spellEnd"/>
      <w:r w:rsidRPr="00A74DC4">
        <w:rPr>
          <w:rFonts w:cs="TimesNewRoman"/>
          <w:b w:val="0"/>
          <w:color w:val="008000"/>
          <w:sz w:val="20"/>
        </w:rPr>
        <w:t>). Prostredníctvom tohto cieľa sa budú poskytovať rozsiahle investície do kľúčových priemyselných technológií, maximalizovať potenciál rastu európskych podnikov prostredníctvom poskytnutia primeraného financovania a pomáhať inovatívnym MSP dostať sa do svetovej špičky.</w:t>
      </w:r>
    </w:p>
    <w:p w:rsidR="00E95173" w:rsidRPr="00A74DC4" w:rsidRDefault="00E95173" w:rsidP="00E95173">
      <w:pPr>
        <w:autoSpaceDE w:val="0"/>
        <w:autoSpaceDN w:val="0"/>
        <w:adjustRightInd w:val="0"/>
        <w:spacing w:before="0" w:after="0"/>
        <w:jc w:val="both"/>
        <w:rPr>
          <w:rFonts w:cs="TimesNewRoman"/>
          <w:b w:val="0"/>
          <w:color w:val="008000"/>
          <w:sz w:val="20"/>
        </w:rPr>
      </w:pPr>
    </w:p>
    <w:p w:rsidR="00E95173" w:rsidRPr="00A74DC4" w:rsidRDefault="00E95173" w:rsidP="00E95173">
      <w:pPr>
        <w:autoSpaceDE w:val="0"/>
        <w:autoSpaceDN w:val="0"/>
        <w:adjustRightInd w:val="0"/>
        <w:spacing w:before="0" w:after="0"/>
        <w:jc w:val="both"/>
        <w:rPr>
          <w:rFonts w:cs="TimesNewRoman"/>
          <w:b w:val="0"/>
          <w:color w:val="008000"/>
          <w:sz w:val="20"/>
        </w:rPr>
      </w:pPr>
    </w:p>
    <w:p w:rsidR="00E95173" w:rsidRPr="00A74DC4" w:rsidRDefault="00E95173" w:rsidP="00E95173">
      <w:pPr>
        <w:spacing w:before="0" w:after="0"/>
        <w:jc w:val="both"/>
        <w:rPr>
          <w:color w:val="008000"/>
          <w:sz w:val="20"/>
        </w:rPr>
      </w:pPr>
      <w:r w:rsidRPr="00A74DC4">
        <w:rPr>
          <w:color w:val="008000"/>
          <w:sz w:val="20"/>
        </w:rPr>
        <w:t>Ciele prioritnej oblasti:</w:t>
      </w:r>
    </w:p>
    <w:p w:rsidR="00080E46" w:rsidRPr="00A74DC4" w:rsidRDefault="00080E46" w:rsidP="00E95173">
      <w:pPr>
        <w:spacing w:before="0" w:after="0"/>
        <w:jc w:val="both"/>
        <w:rPr>
          <w:color w:val="008000"/>
          <w:sz w:val="20"/>
        </w:rPr>
      </w:pPr>
    </w:p>
    <w:p w:rsidR="00E95173" w:rsidRPr="00A74DC4" w:rsidRDefault="00E95173" w:rsidP="00E95173">
      <w:pPr>
        <w:spacing w:before="0" w:after="0"/>
        <w:jc w:val="both"/>
        <w:rPr>
          <w:color w:val="008000"/>
          <w:sz w:val="20"/>
        </w:rPr>
      </w:pPr>
      <w:r w:rsidRPr="00A74DC4">
        <w:rPr>
          <w:color w:val="008000"/>
          <w:sz w:val="20"/>
        </w:rPr>
        <w:t xml:space="preserve">- </w:t>
      </w:r>
      <w:r w:rsidRPr="00A74DC4">
        <w:rPr>
          <w:rFonts w:cs="TimesNewRoman"/>
          <w:b w:val="0"/>
          <w:color w:val="008000"/>
          <w:sz w:val="20"/>
        </w:rPr>
        <w:t xml:space="preserve">dosiahnuť </w:t>
      </w:r>
      <w:r w:rsidRPr="00A74DC4">
        <w:rPr>
          <w:rFonts w:cs="TimesNewRoman,Italic"/>
          <w:b w:val="0"/>
          <w:i/>
          <w:iCs/>
          <w:color w:val="008000"/>
          <w:sz w:val="20"/>
        </w:rPr>
        <w:t xml:space="preserve">vedúcu úlohu v oblasti podporných a priemyselných technológií </w:t>
      </w:r>
      <w:r w:rsidRPr="00A74DC4">
        <w:rPr>
          <w:rFonts w:cs="TimesNewRoman"/>
          <w:b w:val="0"/>
          <w:color w:val="008000"/>
          <w:sz w:val="20"/>
        </w:rPr>
        <w:t xml:space="preserve">sprevádzanú cielenou podporou IKT, </w:t>
      </w:r>
      <w:proofErr w:type="spellStart"/>
      <w:r w:rsidRPr="00A74DC4">
        <w:rPr>
          <w:rFonts w:cs="TimesNewRoman"/>
          <w:b w:val="0"/>
          <w:color w:val="008000"/>
          <w:sz w:val="20"/>
        </w:rPr>
        <w:t>nanotechnológií</w:t>
      </w:r>
      <w:proofErr w:type="spellEnd"/>
      <w:r w:rsidRPr="00A74DC4">
        <w:rPr>
          <w:rFonts w:cs="TimesNewRoman"/>
          <w:b w:val="0"/>
          <w:color w:val="008000"/>
          <w:sz w:val="20"/>
        </w:rPr>
        <w:t>, inovatívnych</w:t>
      </w:r>
      <w:r w:rsidRPr="00A74DC4">
        <w:rPr>
          <w:rFonts w:cs="TimesNewRoman,Italic"/>
          <w:b w:val="0"/>
          <w:i/>
          <w:iCs/>
          <w:color w:val="008000"/>
          <w:sz w:val="20"/>
        </w:rPr>
        <w:t xml:space="preserve"> </w:t>
      </w:r>
      <w:r w:rsidRPr="00A74DC4">
        <w:rPr>
          <w:rFonts w:cs="TimesNewRoman"/>
          <w:b w:val="0"/>
          <w:color w:val="008000"/>
          <w:sz w:val="20"/>
        </w:rPr>
        <w:t>materiálov, biotechnológie, vyspelej výroby a spracovania, ako aj vesmírneho</w:t>
      </w:r>
      <w:r w:rsidRPr="00A74DC4">
        <w:rPr>
          <w:rFonts w:cs="TimesNewRoman,Italic"/>
          <w:b w:val="0"/>
          <w:i/>
          <w:iCs/>
          <w:color w:val="008000"/>
          <w:sz w:val="20"/>
        </w:rPr>
        <w:t xml:space="preserve"> </w:t>
      </w:r>
      <w:r w:rsidRPr="00A74DC4">
        <w:rPr>
          <w:rFonts w:cs="TimesNewRoman"/>
          <w:b w:val="0"/>
          <w:color w:val="008000"/>
          <w:sz w:val="20"/>
        </w:rPr>
        <w:t>priemyslu so súbežnou podporou prierezových činností na zachytávanie</w:t>
      </w:r>
      <w:r w:rsidRPr="00A74DC4">
        <w:rPr>
          <w:rFonts w:cs="TimesNewRoman,Italic"/>
          <w:b w:val="0"/>
          <w:i/>
          <w:iCs/>
          <w:color w:val="008000"/>
          <w:sz w:val="20"/>
        </w:rPr>
        <w:t xml:space="preserve"> </w:t>
      </w:r>
      <w:r w:rsidRPr="00A74DC4">
        <w:rPr>
          <w:rFonts w:cs="TimesNewRoman"/>
          <w:b w:val="0"/>
          <w:color w:val="008000"/>
          <w:sz w:val="20"/>
        </w:rPr>
        <w:t>zhromaždených prínosov z kombinovania viacerých kľúčových podporných</w:t>
      </w:r>
      <w:r w:rsidRPr="00A74DC4">
        <w:rPr>
          <w:rFonts w:cs="TimesNewRoman,Italic"/>
          <w:b w:val="0"/>
          <w:i/>
          <w:iCs/>
          <w:color w:val="008000"/>
          <w:sz w:val="20"/>
        </w:rPr>
        <w:t xml:space="preserve"> </w:t>
      </w:r>
      <w:r w:rsidRPr="00A74DC4">
        <w:rPr>
          <w:rFonts w:cs="TimesNewRoman"/>
          <w:b w:val="0"/>
          <w:color w:val="008000"/>
          <w:sz w:val="20"/>
        </w:rPr>
        <w:t>technológií;</w:t>
      </w:r>
    </w:p>
    <w:p w:rsidR="00E95173" w:rsidRPr="00A74DC4" w:rsidRDefault="00E95173" w:rsidP="00E95173">
      <w:pPr>
        <w:spacing w:before="0" w:after="0"/>
        <w:jc w:val="both"/>
        <w:rPr>
          <w:color w:val="008000"/>
          <w:sz w:val="20"/>
        </w:rPr>
      </w:pPr>
      <w:r w:rsidRPr="00A74DC4">
        <w:rPr>
          <w:color w:val="008000"/>
          <w:sz w:val="20"/>
        </w:rPr>
        <w:t xml:space="preserve">- </w:t>
      </w:r>
      <w:r w:rsidRPr="00A74DC4">
        <w:rPr>
          <w:rFonts w:cs="TimesNewRoman"/>
          <w:b w:val="0"/>
          <w:color w:val="008000"/>
          <w:sz w:val="20"/>
        </w:rPr>
        <w:t xml:space="preserve">uľahčiť </w:t>
      </w:r>
      <w:r w:rsidRPr="00A74DC4">
        <w:rPr>
          <w:rFonts w:cs="TimesNewRoman,Italic"/>
          <w:b w:val="0"/>
          <w:i/>
          <w:iCs/>
          <w:color w:val="008000"/>
          <w:sz w:val="20"/>
        </w:rPr>
        <w:t>prístup k rizikovému financovaniu</w:t>
      </w:r>
      <w:r w:rsidRPr="00A74DC4">
        <w:rPr>
          <w:rFonts w:cs="TimesNewRoman"/>
          <w:b w:val="0"/>
          <w:color w:val="008000"/>
          <w:sz w:val="20"/>
        </w:rPr>
        <w:t xml:space="preserve"> (nástroje finančného inžinierstva)</w:t>
      </w:r>
    </w:p>
    <w:p w:rsidR="00E95173" w:rsidRPr="00A74DC4" w:rsidRDefault="00E95173" w:rsidP="00E95173">
      <w:pPr>
        <w:spacing w:before="0" w:after="0"/>
        <w:jc w:val="both"/>
        <w:rPr>
          <w:rFonts w:cs="TimesNewRoman,Italic"/>
          <w:b w:val="0"/>
          <w:i/>
          <w:iCs/>
          <w:color w:val="008000"/>
          <w:sz w:val="20"/>
        </w:rPr>
      </w:pPr>
      <w:r w:rsidRPr="00A74DC4">
        <w:rPr>
          <w:color w:val="008000"/>
          <w:sz w:val="20"/>
        </w:rPr>
        <w:t xml:space="preserve">- </w:t>
      </w:r>
      <w:r w:rsidRPr="00A74DC4">
        <w:rPr>
          <w:rFonts w:cs="TimesNewRoman"/>
          <w:b w:val="0"/>
          <w:color w:val="008000"/>
          <w:sz w:val="20"/>
        </w:rPr>
        <w:t xml:space="preserve">poskytnúť podporu na úrovni Únie pre </w:t>
      </w:r>
      <w:r w:rsidRPr="00A74DC4">
        <w:rPr>
          <w:rFonts w:cs="TimesNewRoman,Italic"/>
          <w:b w:val="0"/>
          <w:i/>
          <w:iCs/>
          <w:color w:val="008000"/>
          <w:sz w:val="20"/>
        </w:rPr>
        <w:t>inovácie v MSP</w:t>
      </w:r>
    </w:p>
    <w:p w:rsidR="00E95173" w:rsidRPr="00A74DC4" w:rsidRDefault="00E95173" w:rsidP="00E95173">
      <w:pPr>
        <w:spacing w:before="0" w:after="0"/>
        <w:jc w:val="both"/>
        <w:rPr>
          <w:rFonts w:cs="TimesNewRoman,Italic"/>
          <w:b w:val="0"/>
          <w:i/>
          <w:iCs/>
          <w:color w:val="008000"/>
          <w:sz w:val="20"/>
        </w:rPr>
      </w:pP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Medzi hlavné programy tejto priority patria:</w:t>
      </w:r>
    </w:p>
    <w:p w:rsidR="00E95173" w:rsidRPr="00A74DC4" w:rsidRDefault="00E95173" w:rsidP="00E95173">
      <w:pPr>
        <w:spacing w:before="0" w:after="0"/>
        <w:jc w:val="both"/>
        <w:rPr>
          <w:b w:val="0"/>
          <w:color w:val="008000"/>
          <w:sz w:val="20"/>
        </w:rPr>
      </w:pPr>
      <w:r w:rsidRPr="00A74DC4">
        <w:rPr>
          <w:color w:val="008000"/>
          <w:sz w:val="20"/>
        </w:rPr>
        <w:t xml:space="preserve">- </w:t>
      </w:r>
      <w:r w:rsidRPr="00A74DC4">
        <w:rPr>
          <w:b w:val="0"/>
          <w:color w:val="008000"/>
          <w:sz w:val="20"/>
        </w:rPr>
        <w:t>vedúca úloha v oblasti podporných a priemyselných technológiách (17,60%)</w:t>
      </w:r>
    </w:p>
    <w:p w:rsidR="00E95173" w:rsidRPr="00A74DC4" w:rsidRDefault="00E95173" w:rsidP="00E95173">
      <w:pPr>
        <w:spacing w:before="0" w:after="0"/>
        <w:jc w:val="both"/>
        <w:rPr>
          <w:b w:val="0"/>
          <w:color w:val="008000"/>
          <w:sz w:val="20"/>
        </w:rPr>
      </w:pPr>
      <w:r w:rsidRPr="00A74DC4">
        <w:rPr>
          <w:color w:val="008000"/>
          <w:sz w:val="20"/>
        </w:rPr>
        <w:t xml:space="preserve">- </w:t>
      </w:r>
      <w:r w:rsidRPr="00A74DC4">
        <w:rPr>
          <w:b w:val="0"/>
          <w:color w:val="008000"/>
          <w:sz w:val="20"/>
        </w:rPr>
        <w:t>prístup k rizikovému financovaniu (3,69%)</w:t>
      </w:r>
    </w:p>
    <w:p w:rsidR="00E95173" w:rsidRPr="00A74DC4" w:rsidRDefault="00E95173" w:rsidP="00E95173">
      <w:pPr>
        <w:spacing w:before="0" w:after="0"/>
        <w:jc w:val="both"/>
        <w:rPr>
          <w:b w:val="0"/>
          <w:color w:val="008000"/>
          <w:sz w:val="20"/>
        </w:rPr>
      </w:pPr>
      <w:r w:rsidRPr="00A74DC4">
        <w:rPr>
          <w:b w:val="0"/>
          <w:color w:val="008000"/>
          <w:sz w:val="20"/>
        </w:rPr>
        <w:t>- inovatívne malé a stredné podniky (0,80%)</w:t>
      </w:r>
    </w:p>
    <w:p w:rsidR="00E95173" w:rsidRPr="00A74DC4" w:rsidRDefault="00E95173" w:rsidP="00E95173">
      <w:pPr>
        <w:autoSpaceDE w:val="0"/>
        <w:autoSpaceDN w:val="0"/>
        <w:adjustRightInd w:val="0"/>
        <w:spacing w:before="0" w:after="0"/>
        <w:jc w:val="both"/>
        <w:rPr>
          <w:rFonts w:cs="TimesNewRoman"/>
          <w:b w:val="0"/>
          <w:color w:val="008000"/>
          <w:sz w:val="20"/>
        </w:rPr>
      </w:pPr>
    </w:p>
    <w:p w:rsidR="00E95173" w:rsidRPr="00A74DC4" w:rsidRDefault="00E95173" w:rsidP="00E95173">
      <w:pPr>
        <w:autoSpaceDE w:val="0"/>
        <w:autoSpaceDN w:val="0"/>
        <w:adjustRightInd w:val="0"/>
        <w:spacing w:before="0" w:after="0"/>
        <w:jc w:val="both"/>
        <w:rPr>
          <w:rFonts w:cs="TimesNewRoman"/>
          <w:color w:val="008000"/>
          <w:sz w:val="20"/>
        </w:rPr>
      </w:pPr>
      <w:r w:rsidRPr="00A74DC4">
        <w:rPr>
          <w:rFonts w:cs="TimesNewRoman"/>
          <w:color w:val="008000"/>
          <w:sz w:val="20"/>
        </w:rPr>
        <w:t>Prioritné oblasti podpory:</w:t>
      </w:r>
    </w:p>
    <w:p w:rsidR="00080E46" w:rsidRPr="00A74DC4" w:rsidRDefault="00080E46" w:rsidP="00E95173">
      <w:pPr>
        <w:autoSpaceDE w:val="0"/>
        <w:autoSpaceDN w:val="0"/>
        <w:adjustRightInd w:val="0"/>
        <w:spacing w:before="0" w:after="0"/>
        <w:jc w:val="both"/>
        <w:rPr>
          <w:rFonts w:cs="TimesNewRoman"/>
          <w:color w:val="008000"/>
          <w:sz w:val="20"/>
        </w:rPr>
      </w:pP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xml:space="preserve">- </w:t>
      </w:r>
      <w:proofErr w:type="spellStart"/>
      <w:r w:rsidRPr="00A74DC4">
        <w:rPr>
          <w:rFonts w:cs="TimesNewRoman"/>
          <w:b w:val="0"/>
          <w:color w:val="008000"/>
          <w:sz w:val="20"/>
        </w:rPr>
        <w:t>mikro</w:t>
      </w:r>
      <w:proofErr w:type="spellEnd"/>
      <w:r w:rsidRPr="00A74DC4">
        <w:rPr>
          <w:rFonts w:cs="TimesNewRoman"/>
          <w:b w:val="0"/>
          <w:color w:val="008000"/>
          <w:sz w:val="20"/>
        </w:rPr>
        <w:t xml:space="preserve"> a </w:t>
      </w:r>
      <w:proofErr w:type="spellStart"/>
      <w:r w:rsidRPr="00A74DC4">
        <w:rPr>
          <w:rFonts w:cs="TimesNewRoman"/>
          <w:b w:val="0"/>
          <w:color w:val="008000"/>
          <w:sz w:val="20"/>
        </w:rPr>
        <w:t>nano-elektronika</w:t>
      </w:r>
      <w:proofErr w:type="spellEnd"/>
      <w:r w:rsidRPr="00A74DC4">
        <w:rPr>
          <w:rFonts w:cs="TimesNewRoman"/>
          <w:b w:val="0"/>
          <w:color w:val="008000"/>
          <w:sz w:val="20"/>
        </w:rPr>
        <w:t xml:space="preserve">, </w:t>
      </w:r>
      <w:proofErr w:type="spellStart"/>
      <w:r w:rsidRPr="00A74DC4">
        <w:rPr>
          <w:rFonts w:cs="TimesNewRoman"/>
          <w:b w:val="0"/>
          <w:color w:val="008000"/>
          <w:sz w:val="20"/>
        </w:rPr>
        <w:t>fotonika</w:t>
      </w:r>
      <w:proofErr w:type="spellEnd"/>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xml:space="preserve">- </w:t>
      </w:r>
      <w:proofErr w:type="spellStart"/>
      <w:r w:rsidRPr="00A74DC4">
        <w:rPr>
          <w:rFonts w:cs="TimesNewRoman"/>
          <w:b w:val="0"/>
          <w:color w:val="008000"/>
          <w:sz w:val="20"/>
        </w:rPr>
        <w:t>nanotechnológie</w:t>
      </w:r>
      <w:proofErr w:type="spellEnd"/>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pokrokové materiály</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biotechnológie</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vyspelá výroba a spracovateľské procesy</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vesmírny priemysel</w:t>
      </w:r>
    </w:p>
    <w:p w:rsidR="00E95173" w:rsidRPr="00A74DC4" w:rsidRDefault="00E95173" w:rsidP="00E95173">
      <w:pPr>
        <w:autoSpaceDE w:val="0"/>
        <w:autoSpaceDN w:val="0"/>
        <w:adjustRightInd w:val="0"/>
        <w:spacing w:before="0" w:after="0"/>
        <w:jc w:val="both"/>
        <w:rPr>
          <w:rFonts w:cs="TimesNewRoman"/>
          <w:b w:val="0"/>
          <w:color w:val="008000"/>
          <w:sz w:val="20"/>
        </w:rPr>
      </w:pPr>
    </w:p>
    <w:p w:rsidR="00E95173" w:rsidRPr="00A74DC4" w:rsidRDefault="00E95173" w:rsidP="00E95173">
      <w:pPr>
        <w:autoSpaceDE w:val="0"/>
        <w:autoSpaceDN w:val="0"/>
        <w:adjustRightInd w:val="0"/>
        <w:spacing w:before="0" w:after="0"/>
        <w:jc w:val="both"/>
        <w:rPr>
          <w:rFonts w:cs="TimesNewRoman"/>
          <w:color w:val="008000"/>
          <w:sz w:val="20"/>
        </w:rPr>
      </w:pPr>
      <w:r w:rsidRPr="00A74DC4">
        <w:rPr>
          <w:rFonts w:cs="TimesNewRoman"/>
          <w:color w:val="008000"/>
          <w:sz w:val="20"/>
        </w:rPr>
        <w:t>Plánovaný rozpočet pre dotačné programy:</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5894 mil. EUR</w:t>
      </w:r>
    </w:p>
    <w:p w:rsidR="00E95173" w:rsidRPr="00A74DC4" w:rsidRDefault="00E95173" w:rsidP="00E95173">
      <w:pPr>
        <w:autoSpaceDE w:val="0"/>
        <w:autoSpaceDN w:val="0"/>
        <w:adjustRightInd w:val="0"/>
        <w:spacing w:before="0" w:after="0"/>
        <w:jc w:val="both"/>
        <w:rPr>
          <w:rFonts w:cs="TimesNewRoman"/>
          <w:b w:val="0"/>
          <w:color w:val="008000"/>
          <w:sz w:val="20"/>
        </w:rPr>
      </w:pP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V rámci programu Horizont 2020 sa uplatňuje integrovaný prístup k MSP. Očakáva sa, že tento integrovaný prístup spôsobí, že približne 15 % z celkového kombinovaného rozpočtu pre všetky spoločenské výzvy a podporné a priemyselné technológie bude smerovať do MSP.</w:t>
      </w:r>
    </w:p>
    <w:p w:rsidR="00E95173" w:rsidRPr="00A74DC4" w:rsidRDefault="00E95173" w:rsidP="00E95173">
      <w:pPr>
        <w:autoSpaceDE w:val="0"/>
        <w:autoSpaceDN w:val="0"/>
        <w:adjustRightInd w:val="0"/>
        <w:spacing w:before="0" w:after="0"/>
        <w:jc w:val="both"/>
        <w:rPr>
          <w:rFonts w:cs="TimesNewRoman"/>
          <w:b w:val="0"/>
          <w:color w:val="008000"/>
          <w:sz w:val="20"/>
        </w:rPr>
      </w:pPr>
    </w:p>
    <w:p w:rsidR="00E95173" w:rsidRPr="00A74DC4" w:rsidRDefault="00E95173" w:rsidP="00E95173">
      <w:pPr>
        <w:autoSpaceDE w:val="0"/>
        <w:autoSpaceDN w:val="0"/>
        <w:adjustRightInd w:val="0"/>
        <w:spacing w:before="0" w:after="0"/>
        <w:jc w:val="both"/>
        <w:rPr>
          <w:rFonts w:cs="TimesNewRoman"/>
          <w:b w:val="0"/>
          <w:color w:val="008000"/>
          <w:sz w:val="20"/>
        </w:rPr>
      </w:pPr>
    </w:p>
    <w:p w:rsidR="00E95173" w:rsidRPr="00A74DC4" w:rsidRDefault="00E95173" w:rsidP="00E95173">
      <w:pPr>
        <w:autoSpaceDE w:val="0"/>
        <w:autoSpaceDN w:val="0"/>
        <w:adjustRightInd w:val="0"/>
        <w:spacing w:before="0" w:after="0"/>
        <w:jc w:val="both"/>
        <w:rPr>
          <w:rFonts w:cs="TimesNewRoman"/>
          <w:color w:val="008000"/>
          <w:sz w:val="20"/>
        </w:rPr>
      </w:pPr>
      <w:r w:rsidRPr="00A74DC4">
        <w:rPr>
          <w:rFonts w:cs="TimesNewRoman"/>
          <w:color w:val="008000"/>
          <w:sz w:val="20"/>
        </w:rPr>
        <w:t>Tri cesty podpory malých a stredných podnikov (MSP) cez HORIZON</w:t>
      </w:r>
      <w:r w:rsidR="00080E46" w:rsidRPr="00A74DC4">
        <w:rPr>
          <w:rFonts w:cs="TimesNewRoman"/>
          <w:color w:val="008000"/>
          <w:sz w:val="20"/>
        </w:rPr>
        <w:t>:</w:t>
      </w:r>
    </w:p>
    <w:p w:rsidR="00080E46" w:rsidRPr="00A74DC4" w:rsidRDefault="00080E46" w:rsidP="00E95173">
      <w:pPr>
        <w:autoSpaceDE w:val="0"/>
        <w:autoSpaceDN w:val="0"/>
        <w:adjustRightInd w:val="0"/>
        <w:spacing w:before="0" w:after="0"/>
        <w:jc w:val="both"/>
        <w:rPr>
          <w:rFonts w:cs="TimesNewRoman"/>
          <w:color w:val="008000"/>
          <w:sz w:val="20"/>
        </w:rPr>
      </w:pP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color w:val="008000"/>
          <w:sz w:val="20"/>
        </w:rPr>
        <w:t>1. nový nástroj založený na modeli SBIR (</w:t>
      </w:r>
      <w:proofErr w:type="spellStart"/>
      <w:r w:rsidRPr="00A74DC4">
        <w:rPr>
          <w:rFonts w:cs="TimesNewRoman"/>
          <w:color w:val="008000"/>
          <w:sz w:val="20"/>
        </w:rPr>
        <w:t>Small</w:t>
      </w:r>
      <w:proofErr w:type="spellEnd"/>
      <w:r w:rsidRPr="00A74DC4">
        <w:rPr>
          <w:rFonts w:cs="TimesNewRoman"/>
          <w:color w:val="008000"/>
          <w:sz w:val="20"/>
        </w:rPr>
        <w:t xml:space="preserve"> </w:t>
      </w:r>
      <w:proofErr w:type="spellStart"/>
      <w:r w:rsidRPr="00A74DC4">
        <w:rPr>
          <w:rFonts w:cs="TimesNewRoman"/>
          <w:color w:val="008000"/>
          <w:sz w:val="20"/>
        </w:rPr>
        <w:t>Business</w:t>
      </w:r>
      <w:proofErr w:type="spellEnd"/>
      <w:r w:rsidRPr="00A74DC4">
        <w:rPr>
          <w:rFonts w:cs="TimesNewRoman"/>
          <w:color w:val="008000"/>
          <w:sz w:val="20"/>
        </w:rPr>
        <w:t xml:space="preserve"> </w:t>
      </w:r>
      <w:proofErr w:type="spellStart"/>
      <w:r w:rsidRPr="00A74DC4">
        <w:rPr>
          <w:rFonts w:cs="TimesNewRoman"/>
          <w:color w:val="008000"/>
          <w:sz w:val="20"/>
        </w:rPr>
        <w:t>Innovation</w:t>
      </w:r>
      <w:proofErr w:type="spellEnd"/>
      <w:r w:rsidRPr="00A74DC4">
        <w:rPr>
          <w:rFonts w:cs="TimesNewRoman"/>
          <w:color w:val="008000"/>
          <w:sz w:val="20"/>
        </w:rPr>
        <w:t xml:space="preserve"> </w:t>
      </w:r>
      <w:proofErr w:type="spellStart"/>
      <w:r w:rsidRPr="00A74DC4">
        <w:rPr>
          <w:rFonts w:cs="TimesNewRoman"/>
          <w:color w:val="008000"/>
          <w:sz w:val="20"/>
        </w:rPr>
        <w:t>Research</w:t>
      </w:r>
      <w:proofErr w:type="spellEnd"/>
      <w:r w:rsidRPr="00A74DC4">
        <w:rPr>
          <w:rFonts w:cs="TimesNewRoman"/>
          <w:color w:val="008000"/>
          <w:sz w:val="20"/>
        </w:rPr>
        <w:t xml:space="preserve"> </w:t>
      </w:r>
      <w:r w:rsidRPr="00A74DC4">
        <w:rPr>
          <w:rFonts w:cs="TimesNewRoman"/>
          <w:b w:val="0"/>
          <w:color w:val="008000"/>
          <w:sz w:val="20"/>
        </w:rPr>
        <w:t>– funguje v USA) sa bude používať konzistentne v prípade všetkých spoločenských výziev a podporných a priemyselných technológií. Tento nástroj umožní MSP predložiť ich najinovatívnejšie nápady zamerané na riešenie problémov spoločných pre celú Úniu. Nástroj bude zodpovedať potrebám MSP, pretože im ponúkne inovatívne riešenia na konkrétne výzvy (a to bez ohľadu na to, či ide o inovácie motivované špičkovými technológiami, výskumom, službami alebo sociálnou sférou) prostredníctvom týchto charakteristík:</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xml:space="preserve">– </w:t>
      </w:r>
      <w:r w:rsidRPr="00A74DC4">
        <w:rPr>
          <w:rFonts w:cs="TimesNewRoman,Italic"/>
          <w:b w:val="0"/>
          <w:i/>
          <w:iCs/>
          <w:color w:val="008000"/>
          <w:sz w:val="20"/>
        </w:rPr>
        <w:t xml:space="preserve">Len MSP sa budú môcť uchádzať o finančné prostriedky. </w:t>
      </w:r>
      <w:r w:rsidRPr="00A74DC4">
        <w:rPr>
          <w:rFonts w:cs="TimesNewRoman"/>
          <w:b w:val="0"/>
          <w:color w:val="008000"/>
          <w:sz w:val="20"/>
        </w:rPr>
        <w:t>Môžu so sebou priniesť svojich partnerov, ale jednou z hlavných noviniek tohto nástroja je, že umožňuje projekty s jedným účastníkom;</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xml:space="preserve">– </w:t>
      </w:r>
      <w:r w:rsidRPr="00A74DC4">
        <w:rPr>
          <w:rFonts w:cs="TimesNewRoman,Italic"/>
          <w:b w:val="0"/>
          <w:i/>
          <w:iCs/>
          <w:color w:val="008000"/>
          <w:sz w:val="20"/>
        </w:rPr>
        <w:t xml:space="preserve">Podpora bude poskytovaná v jednotlivých etapách. </w:t>
      </w:r>
      <w:r w:rsidRPr="00A74DC4">
        <w:rPr>
          <w:rFonts w:cs="TimesNewRoman"/>
          <w:b w:val="0"/>
          <w:color w:val="008000"/>
          <w:sz w:val="20"/>
        </w:rPr>
        <w:t>Fáza preskúmania uskutočniteľnosti umožní vyhodnotiť potenciál projektu. Hlavný grant umožní MSP, aby realizovali projekt, zachovali si vlastníctvo práv duševného vlastníctva a zadávali úlohy podľa potreby externým subjektom. Následná podpora sa bude poskytovať nepriamo prostredníctvom služieb (napr. pomoc pri získavaní rizikového kapitálu, podpora inovácie alebo verejné obstarávanie).</w:t>
      </w:r>
    </w:p>
    <w:p w:rsidR="00E95173" w:rsidRPr="00A74DC4" w:rsidRDefault="00E95173" w:rsidP="00E95173">
      <w:pPr>
        <w:autoSpaceDE w:val="0"/>
        <w:autoSpaceDN w:val="0"/>
        <w:adjustRightInd w:val="0"/>
        <w:spacing w:before="0" w:after="0"/>
        <w:jc w:val="both"/>
        <w:rPr>
          <w:rFonts w:cs="TimesNewRoman"/>
          <w:b w:val="0"/>
          <w:color w:val="008000"/>
          <w:sz w:val="20"/>
        </w:rPr>
      </w:pPr>
    </w:p>
    <w:p w:rsidR="00E95173" w:rsidRPr="00A74DC4" w:rsidRDefault="00E95173" w:rsidP="00E95173">
      <w:pPr>
        <w:autoSpaceDE w:val="0"/>
        <w:autoSpaceDN w:val="0"/>
        <w:adjustRightInd w:val="0"/>
        <w:spacing w:before="0" w:after="0"/>
        <w:jc w:val="both"/>
        <w:rPr>
          <w:rFonts w:cs="TimesNewRoman"/>
          <w:color w:val="008000"/>
          <w:sz w:val="20"/>
        </w:rPr>
      </w:pPr>
      <w:r w:rsidRPr="00A74DC4">
        <w:rPr>
          <w:rFonts w:cs="TimesNewRoman"/>
          <w:color w:val="008000"/>
          <w:sz w:val="20"/>
        </w:rPr>
        <w:t>2.Špecializovaná činnosť zameraná na MSP vykonávajúce intenzívny výskum</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xml:space="preserve">- cez program </w:t>
      </w:r>
      <w:proofErr w:type="spellStart"/>
      <w:r w:rsidRPr="00A74DC4">
        <w:rPr>
          <w:rFonts w:cs="TimesNewRoman"/>
          <w:color w:val="008000"/>
          <w:sz w:val="20"/>
        </w:rPr>
        <w:t>Eurostars</w:t>
      </w:r>
      <w:proofErr w:type="spellEnd"/>
      <w:r w:rsidRPr="00A74DC4">
        <w:rPr>
          <w:rFonts w:cs="TimesNewRoman"/>
          <w:b w:val="0"/>
          <w:color w:val="008000"/>
          <w:sz w:val="20"/>
        </w:rPr>
        <w:t xml:space="preserve">, implementovaný v spolupráci s členskými štátmi (http://www.eurostars-eureka.eu) </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doplnený opatreniami na budovanie inovačnej kapacity MSP, ako napríklad vytváranie sietí a sprostredkovanie, a umožní MSP zahrnúť rôzne typy technológií prostredníctvom prepojenia s výskumnými pracovníkmi a novátormi z celej Európy.</w:t>
      </w:r>
    </w:p>
    <w:p w:rsidR="00E95173" w:rsidRPr="00A74DC4" w:rsidRDefault="00E95173" w:rsidP="00E95173">
      <w:pPr>
        <w:autoSpaceDE w:val="0"/>
        <w:autoSpaceDN w:val="0"/>
        <w:adjustRightInd w:val="0"/>
        <w:spacing w:before="0" w:after="0"/>
        <w:jc w:val="both"/>
        <w:rPr>
          <w:rFonts w:cs="TimesNewRoman"/>
          <w:b w:val="0"/>
          <w:color w:val="008000"/>
          <w:sz w:val="20"/>
        </w:rPr>
      </w:pPr>
    </w:p>
    <w:p w:rsidR="00E95173" w:rsidRPr="00A74DC4" w:rsidRDefault="00E95173" w:rsidP="00E95173">
      <w:pPr>
        <w:autoSpaceDE w:val="0"/>
        <w:autoSpaceDN w:val="0"/>
        <w:adjustRightInd w:val="0"/>
        <w:spacing w:before="0" w:after="0"/>
        <w:jc w:val="both"/>
        <w:rPr>
          <w:rFonts w:cs="TimesNewRoman"/>
          <w:color w:val="008000"/>
          <w:sz w:val="20"/>
        </w:rPr>
      </w:pPr>
      <w:r w:rsidRPr="00A74DC4">
        <w:rPr>
          <w:rFonts w:cs="TimesNewRoman"/>
          <w:color w:val="008000"/>
          <w:sz w:val="20"/>
        </w:rPr>
        <w:t>3. Prístup k rizikovému financovaniu</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úverové nástroje pre MSP cez finančných sprostredkovateľov na štátnej a regionálnej úrovni (podobne ako JEREMIE)</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kapitálové nástroje (</w:t>
      </w:r>
      <w:proofErr w:type="spellStart"/>
      <w:r w:rsidRPr="00A74DC4">
        <w:rPr>
          <w:rFonts w:cs="TimesNewRoman"/>
          <w:b w:val="0"/>
          <w:color w:val="008000"/>
          <w:sz w:val="20"/>
        </w:rPr>
        <w:t>equity</w:t>
      </w:r>
      <w:proofErr w:type="spellEnd"/>
      <w:r w:rsidRPr="00A74DC4">
        <w:rPr>
          <w:rFonts w:cs="TimesNewRoman"/>
          <w:b w:val="0"/>
          <w:color w:val="008000"/>
          <w:sz w:val="20"/>
        </w:rPr>
        <w:t>) – zamerané na investície v rannej fáze alebo expanzie MSP – budú súčasťou úverových nástrojov</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oba nástroje sa budú implementovať ako časť dvoch finančných nástrojov EÚ, ktoré poskytujú úverové a kapitálové financovanie na podporu výskumu, vývoja a rastu MSP, spoločne s kapitálovými a úverovými nástrojmi v rámci programu COSME (na podporu konkurencieschopnosti podnikov)</w:t>
      </w:r>
    </w:p>
    <w:p w:rsidR="00E95173" w:rsidRPr="00A74DC4" w:rsidRDefault="00E95173" w:rsidP="00E95173">
      <w:pPr>
        <w:autoSpaceDE w:val="0"/>
        <w:autoSpaceDN w:val="0"/>
        <w:adjustRightInd w:val="0"/>
        <w:spacing w:before="0" w:after="0"/>
        <w:jc w:val="both"/>
        <w:rPr>
          <w:rFonts w:cs="TimesNewRoman"/>
          <w:b w:val="0"/>
          <w:color w:val="008000"/>
          <w:sz w:val="20"/>
        </w:rPr>
      </w:pPr>
    </w:p>
    <w:p w:rsidR="00E95173" w:rsidRPr="00A74DC4" w:rsidRDefault="00E95173" w:rsidP="00E95173">
      <w:pPr>
        <w:autoSpaceDE w:val="0"/>
        <w:autoSpaceDN w:val="0"/>
        <w:adjustRightInd w:val="0"/>
        <w:spacing w:before="0" w:after="0"/>
        <w:jc w:val="both"/>
        <w:rPr>
          <w:rFonts w:cs="TimesNewRoman"/>
          <w:b w:val="0"/>
          <w:color w:val="008000"/>
          <w:sz w:val="20"/>
        </w:rPr>
      </w:pP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color w:val="008000"/>
          <w:sz w:val="20"/>
        </w:rPr>
        <w:t xml:space="preserve">3. </w:t>
      </w:r>
      <w:r w:rsidRPr="00A74DC4">
        <w:rPr>
          <w:rFonts w:cs="TimesNewRoman,Bold"/>
          <w:bCs/>
          <w:color w:val="008000"/>
          <w:sz w:val="20"/>
        </w:rPr>
        <w:t>Spoločenské výzvy</w:t>
      </w:r>
      <w:r w:rsidRPr="00A74DC4">
        <w:rPr>
          <w:rFonts w:cs="TimesNewRoman"/>
          <w:b w:val="0"/>
          <w:color w:val="008000"/>
          <w:sz w:val="20"/>
        </w:rPr>
        <w:t xml:space="preserve">. </w:t>
      </w:r>
    </w:p>
    <w:p w:rsidR="00080E46" w:rsidRPr="00A74DC4" w:rsidRDefault="00080E46" w:rsidP="00E95173">
      <w:pPr>
        <w:autoSpaceDE w:val="0"/>
        <w:autoSpaceDN w:val="0"/>
        <w:adjustRightInd w:val="0"/>
        <w:spacing w:before="0" w:after="0"/>
        <w:jc w:val="both"/>
        <w:rPr>
          <w:rFonts w:cs="TimesNewRoman"/>
          <w:b w:val="0"/>
          <w:color w:val="008000"/>
          <w:sz w:val="20"/>
        </w:rPr>
      </w:pP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Tento cieľ odráža politické priority stratégie Európa 2020 a slúži na riešenie hlavných obáv občanov v Európe a mimo nej. Na výzvach založený prístup spojí zdroje a znalosti z rôznych oblastí, technológie a disciplíny (vrátane spoločenských a humanitných vied). Pôjde o činnosti (od výskumu až po trh) s novým dôrazom na činnosti súvisiace s inováciou, ako napr. pilotné projekty, demonštračné činnosti, testovacie prostredia a podpora pre verejné obstarávanie a trhového využitie. Tento cieľ zahŕňa aj vytváranie väzieb s činnosťami vykonávanými v rámci európskych partnerstiev v oblasti inovácie.</w:t>
      </w:r>
    </w:p>
    <w:p w:rsidR="00E95173" w:rsidRPr="00A74DC4" w:rsidRDefault="00E95173" w:rsidP="00E95173">
      <w:pPr>
        <w:autoSpaceDE w:val="0"/>
        <w:autoSpaceDN w:val="0"/>
        <w:adjustRightInd w:val="0"/>
        <w:spacing w:before="0" w:after="0"/>
        <w:jc w:val="both"/>
        <w:rPr>
          <w:rFonts w:cs="TimesNewRoman"/>
          <w:b w:val="0"/>
          <w:color w:val="008000"/>
          <w:sz w:val="20"/>
        </w:rPr>
      </w:pP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Financovanie sa bude zameriavať na tieto výzvy:</w:t>
      </w:r>
    </w:p>
    <w:p w:rsidR="00E95173" w:rsidRPr="00A74DC4" w:rsidRDefault="00E95173" w:rsidP="00E95173">
      <w:pPr>
        <w:autoSpaceDE w:val="0"/>
        <w:autoSpaceDN w:val="0"/>
        <w:adjustRightInd w:val="0"/>
        <w:spacing w:before="0" w:after="0"/>
        <w:jc w:val="both"/>
        <w:rPr>
          <w:rFonts w:cs="TimesNewRoman,Italic"/>
          <w:b w:val="0"/>
          <w:i/>
          <w:iCs/>
          <w:color w:val="008000"/>
          <w:sz w:val="20"/>
        </w:rPr>
      </w:pPr>
      <w:r w:rsidRPr="00A74DC4">
        <w:rPr>
          <w:rFonts w:cs="Symbol"/>
          <w:b w:val="0"/>
          <w:color w:val="008000"/>
          <w:sz w:val="20"/>
        </w:rPr>
        <w:t xml:space="preserve">- </w:t>
      </w:r>
      <w:r w:rsidRPr="00A74DC4">
        <w:rPr>
          <w:rFonts w:cs="TimesNewRoman,Italic"/>
          <w:b w:val="0"/>
          <w:i/>
          <w:iCs/>
          <w:color w:val="008000"/>
          <w:sz w:val="20"/>
        </w:rPr>
        <w:t xml:space="preserve">zdravie, demografické zmeny a zdravé prostredie </w:t>
      </w:r>
      <w:r w:rsidRPr="00A74DC4">
        <w:rPr>
          <w:rFonts w:cs="TimesNewRoman,Italic"/>
          <w:b w:val="0"/>
          <w:iCs/>
          <w:color w:val="008000"/>
          <w:sz w:val="20"/>
        </w:rPr>
        <w:t>(9,70% rozpočtu)</w:t>
      </w:r>
    </w:p>
    <w:p w:rsidR="00E95173" w:rsidRPr="00A74DC4" w:rsidRDefault="00E95173" w:rsidP="00E95173">
      <w:pPr>
        <w:autoSpaceDE w:val="0"/>
        <w:autoSpaceDN w:val="0"/>
        <w:adjustRightInd w:val="0"/>
        <w:spacing w:before="0" w:after="0"/>
        <w:jc w:val="both"/>
        <w:rPr>
          <w:rFonts w:cs="TimesNewRoman,Italic"/>
          <w:b w:val="0"/>
          <w:iCs/>
          <w:color w:val="008000"/>
          <w:sz w:val="20"/>
        </w:rPr>
      </w:pPr>
      <w:r w:rsidRPr="00A74DC4">
        <w:rPr>
          <w:rFonts w:cs="Symbol"/>
          <w:b w:val="0"/>
          <w:color w:val="008000"/>
          <w:sz w:val="20"/>
        </w:rPr>
        <w:t xml:space="preserve">- </w:t>
      </w:r>
      <w:r w:rsidRPr="00A74DC4">
        <w:rPr>
          <w:rFonts w:cs="TimesNewRoman,Italic"/>
          <w:b w:val="0"/>
          <w:i/>
          <w:iCs/>
          <w:color w:val="008000"/>
          <w:sz w:val="20"/>
        </w:rPr>
        <w:t>potravinová bezpečnosť, udržateľné poľnohospodárstvo, morský a námorný výskum a </w:t>
      </w:r>
      <w:proofErr w:type="spellStart"/>
      <w:r w:rsidRPr="00A74DC4">
        <w:rPr>
          <w:rFonts w:cs="TimesNewRoman,Italic"/>
          <w:b w:val="0"/>
          <w:i/>
          <w:iCs/>
          <w:color w:val="008000"/>
          <w:sz w:val="20"/>
        </w:rPr>
        <w:t>bioekonomika</w:t>
      </w:r>
      <w:proofErr w:type="spellEnd"/>
      <w:r w:rsidRPr="00A74DC4">
        <w:rPr>
          <w:rFonts w:cs="TimesNewRoman,Italic"/>
          <w:b w:val="0"/>
          <w:i/>
          <w:iCs/>
          <w:color w:val="008000"/>
          <w:sz w:val="20"/>
        </w:rPr>
        <w:t xml:space="preserve"> </w:t>
      </w:r>
      <w:r w:rsidRPr="00A74DC4">
        <w:rPr>
          <w:rFonts w:cs="TimesNewRoman,Italic"/>
          <w:b w:val="0"/>
          <w:iCs/>
          <w:color w:val="008000"/>
          <w:sz w:val="20"/>
        </w:rPr>
        <w:t>(5,00%)</w:t>
      </w:r>
    </w:p>
    <w:p w:rsidR="00E95173" w:rsidRPr="00A74DC4" w:rsidRDefault="00E95173" w:rsidP="00E95173">
      <w:pPr>
        <w:autoSpaceDE w:val="0"/>
        <w:autoSpaceDN w:val="0"/>
        <w:adjustRightInd w:val="0"/>
        <w:spacing w:before="0" w:after="0"/>
        <w:jc w:val="both"/>
        <w:rPr>
          <w:rFonts w:cs="TimesNewRoman,Italic"/>
          <w:b w:val="0"/>
          <w:iCs/>
          <w:color w:val="008000"/>
          <w:sz w:val="20"/>
        </w:rPr>
      </w:pPr>
      <w:r w:rsidRPr="00A74DC4">
        <w:rPr>
          <w:rFonts w:cs="Symbol"/>
          <w:b w:val="0"/>
          <w:color w:val="008000"/>
          <w:sz w:val="20"/>
        </w:rPr>
        <w:t xml:space="preserve">- </w:t>
      </w:r>
      <w:r w:rsidRPr="00A74DC4">
        <w:rPr>
          <w:rFonts w:cs="TimesNewRoman,Italic"/>
          <w:b w:val="0"/>
          <w:i/>
          <w:iCs/>
          <w:color w:val="008000"/>
          <w:sz w:val="20"/>
        </w:rPr>
        <w:t xml:space="preserve">bezpečná, čistá a efektívne využívaná energia </w:t>
      </w:r>
      <w:r w:rsidRPr="00A74DC4">
        <w:rPr>
          <w:rFonts w:cs="TimesNewRoman,Italic"/>
          <w:b w:val="0"/>
          <w:iCs/>
          <w:color w:val="008000"/>
          <w:sz w:val="20"/>
        </w:rPr>
        <w:t>(7,70%)</w:t>
      </w:r>
    </w:p>
    <w:p w:rsidR="00E95173" w:rsidRPr="00A74DC4" w:rsidRDefault="00E95173" w:rsidP="00E95173">
      <w:pPr>
        <w:spacing w:before="0" w:after="0"/>
        <w:jc w:val="both"/>
        <w:rPr>
          <w:b w:val="0"/>
          <w:color w:val="008000"/>
          <w:sz w:val="20"/>
        </w:rPr>
      </w:pPr>
      <w:r w:rsidRPr="00A74DC4">
        <w:rPr>
          <w:rFonts w:cs="Symbol"/>
          <w:b w:val="0"/>
          <w:color w:val="008000"/>
          <w:sz w:val="20"/>
        </w:rPr>
        <w:t xml:space="preserve">- </w:t>
      </w:r>
      <w:r w:rsidRPr="00A74DC4">
        <w:rPr>
          <w:rFonts w:cs="TimesNewRoman,Italic"/>
          <w:b w:val="0"/>
          <w:i/>
          <w:iCs/>
          <w:color w:val="008000"/>
          <w:sz w:val="20"/>
        </w:rPr>
        <w:t>inteligentná a integrovaná doprava šetrná k životnému prostrediu</w:t>
      </w:r>
      <w:r w:rsidRPr="00A74DC4">
        <w:rPr>
          <w:rFonts w:cs="TimesNewRoman,Italic"/>
          <w:b w:val="0"/>
          <w:iCs/>
          <w:color w:val="008000"/>
          <w:sz w:val="20"/>
        </w:rPr>
        <w:t xml:space="preserve"> (8,23%)</w:t>
      </w:r>
    </w:p>
    <w:p w:rsidR="00E95173" w:rsidRPr="00A74DC4" w:rsidRDefault="00E95173" w:rsidP="00E95173">
      <w:pPr>
        <w:autoSpaceDE w:val="0"/>
        <w:autoSpaceDN w:val="0"/>
        <w:adjustRightInd w:val="0"/>
        <w:spacing w:before="0" w:after="0"/>
        <w:jc w:val="both"/>
        <w:rPr>
          <w:rFonts w:cs="TimesNewRoman,Italic"/>
          <w:b w:val="0"/>
          <w:iCs/>
          <w:color w:val="008000"/>
          <w:sz w:val="20"/>
        </w:rPr>
      </w:pPr>
      <w:r w:rsidRPr="00A74DC4">
        <w:rPr>
          <w:rFonts w:cs="Symbol"/>
          <w:b w:val="0"/>
          <w:color w:val="008000"/>
          <w:sz w:val="20"/>
        </w:rPr>
        <w:t xml:space="preserve">- </w:t>
      </w:r>
      <w:r w:rsidRPr="00A74DC4">
        <w:rPr>
          <w:rFonts w:cs="TimesNewRoman,Italic"/>
          <w:b w:val="0"/>
          <w:i/>
          <w:iCs/>
          <w:color w:val="008000"/>
          <w:sz w:val="20"/>
        </w:rPr>
        <w:t xml:space="preserve">opatrenia na ochranu klímy, účinné využívanie zdrojov a suroviny </w:t>
      </w:r>
      <w:r w:rsidRPr="00A74DC4">
        <w:rPr>
          <w:rFonts w:cs="TimesNewRoman,Italic"/>
          <w:b w:val="0"/>
          <w:iCs/>
          <w:color w:val="008000"/>
          <w:sz w:val="20"/>
        </w:rPr>
        <w:t>(4,0%)</w:t>
      </w:r>
    </w:p>
    <w:p w:rsidR="00E95173" w:rsidRPr="00A74DC4" w:rsidRDefault="00E95173" w:rsidP="00E95173">
      <w:pPr>
        <w:autoSpaceDE w:val="0"/>
        <w:autoSpaceDN w:val="0"/>
        <w:adjustRightInd w:val="0"/>
        <w:spacing w:before="0" w:after="0"/>
        <w:jc w:val="both"/>
        <w:rPr>
          <w:rFonts w:cs="TimesNewRoman,Italic"/>
          <w:b w:val="0"/>
          <w:iCs/>
          <w:color w:val="008000"/>
          <w:sz w:val="20"/>
        </w:rPr>
      </w:pPr>
      <w:r w:rsidRPr="00A74DC4">
        <w:rPr>
          <w:rFonts w:cs="Symbol"/>
          <w:b w:val="0"/>
          <w:color w:val="008000"/>
          <w:sz w:val="20"/>
        </w:rPr>
        <w:t xml:space="preserve">- </w:t>
      </w:r>
      <w:proofErr w:type="spellStart"/>
      <w:r w:rsidRPr="00A74DC4">
        <w:rPr>
          <w:rFonts w:cs="TimesNewRoman,Italic"/>
          <w:b w:val="0"/>
          <w:i/>
          <w:iCs/>
          <w:color w:val="008000"/>
          <w:sz w:val="20"/>
        </w:rPr>
        <w:t>inkluzívne</w:t>
      </w:r>
      <w:proofErr w:type="spellEnd"/>
      <w:r w:rsidRPr="00A74DC4">
        <w:rPr>
          <w:rFonts w:cs="TimesNewRoman,Italic"/>
          <w:b w:val="0"/>
          <w:i/>
          <w:iCs/>
          <w:color w:val="008000"/>
          <w:sz w:val="20"/>
        </w:rPr>
        <w:t xml:space="preserve"> spoločnosti </w:t>
      </w:r>
      <w:r w:rsidRPr="00A74DC4">
        <w:rPr>
          <w:rFonts w:cs="TimesNewRoman,Italic"/>
          <w:b w:val="0"/>
          <w:iCs/>
          <w:color w:val="008000"/>
          <w:sz w:val="20"/>
        </w:rPr>
        <w:t>(1,70%)</w:t>
      </w:r>
    </w:p>
    <w:p w:rsidR="00E95173" w:rsidRPr="00A74DC4" w:rsidRDefault="00E95173" w:rsidP="00E95173">
      <w:pPr>
        <w:autoSpaceDE w:val="0"/>
        <w:autoSpaceDN w:val="0"/>
        <w:adjustRightInd w:val="0"/>
        <w:spacing w:before="0" w:after="0"/>
        <w:jc w:val="both"/>
        <w:rPr>
          <w:rFonts w:cs="TimesNewRoman,Italic"/>
          <w:b w:val="0"/>
          <w:iCs/>
          <w:color w:val="008000"/>
          <w:sz w:val="20"/>
        </w:rPr>
      </w:pPr>
      <w:r w:rsidRPr="00A74DC4">
        <w:rPr>
          <w:rFonts w:cs="TimesNewRoman,Italic"/>
          <w:b w:val="0"/>
          <w:iCs/>
          <w:color w:val="008000"/>
          <w:sz w:val="20"/>
        </w:rPr>
        <w:t xml:space="preserve">- </w:t>
      </w:r>
      <w:r w:rsidRPr="00A74DC4">
        <w:rPr>
          <w:rFonts w:cs="TimesNewRoman,Italic"/>
          <w:b w:val="0"/>
          <w:i/>
          <w:iCs/>
          <w:color w:val="008000"/>
          <w:sz w:val="20"/>
        </w:rPr>
        <w:t xml:space="preserve">bezpečné spoločnosti </w:t>
      </w:r>
      <w:r w:rsidRPr="00A74DC4">
        <w:rPr>
          <w:rFonts w:cs="TimesNewRoman,Italic"/>
          <w:b w:val="0"/>
          <w:iCs/>
          <w:color w:val="008000"/>
          <w:sz w:val="20"/>
        </w:rPr>
        <w:t>(2,20%)</w:t>
      </w:r>
    </w:p>
    <w:p w:rsidR="00E95173" w:rsidRPr="00A74DC4" w:rsidRDefault="00E95173" w:rsidP="00E95173">
      <w:pPr>
        <w:autoSpaceDE w:val="0"/>
        <w:autoSpaceDN w:val="0"/>
        <w:adjustRightInd w:val="0"/>
        <w:spacing w:before="0" w:after="0"/>
        <w:jc w:val="both"/>
        <w:rPr>
          <w:rFonts w:cs="TimesNewRoman"/>
          <w:b w:val="0"/>
          <w:color w:val="008000"/>
          <w:sz w:val="20"/>
        </w:rPr>
      </w:pPr>
    </w:p>
    <w:p w:rsidR="00080E46"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xml:space="preserve">Udržateľný rozvoj bude zastrešujúcim cieľom programu Horizont 2020. Finančné prostriedky vyčlenené na činnosti v oblasti boja proti zmene klímy a efektívneho využívania zdrojov budú </w:t>
      </w:r>
    </w:p>
    <w:p w:rsidR="00080E46" w:rsidRPr="00A74DC4" w:rsidRDefault="00080E46" w:rsidP="00E95173">
      <w:pPr>
        <w:autoSpaceDE w:val="0"/>
        <w:autoSpaceDN w:val="0"/>
        <w:adjustRightInd w:val="0"/>
        <w:spacing w:before="0" w:after="0"/>
        <w:jc w:val="both"/>
        <w:rPr>
          <w:rFonts w:cs="TimesNewRoman"/>
          <w:b w:val="0"/>
          <w:color w:val="008000"/>
          <w:sz w:val="20"/>
        </w:rPr>
      </w:pPr>
    </w:p>
    <w:p w:rsidR="00080E46" w:rsidRPr="00A74DC4" w:rsidRDefault="00080E46" w:rsidP="00E95173">
      <w:pPr>
        <w:autoSpaceDE w:val="0"/>
        <w:autoSpaceDN w:val="0"/>
        <w:adjustRightInd w:val="0"/>
        <w:spacing w:before="0" w:after="0"/>
        <w:jc w:val="both"/>
        <w:rPr>
          <w:rFonts w:cs="TimesNewRoman"/>
          <w:b w:val="0"/>
          <w:color w:val="008000"/>
          <w:sz w:val="20"/>
        </w:rPr>
      </w:pP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doplnené prostredníctvom ostatných osobitných cieľov programu Horizont 2020. Dôsledkom toho bude 60 % celkového rozpočtu programu Horizont 2020 súvisieť s udržateľným rozvojom a prevažná väčšina týchto výdavkov prispeje k vzájomne sa posilňujúcim cieľom v oblasti boja proti zmene klímy a ochrany životného prostredia. Očakáva sa preto, že približne 35 % rozpočtu programu Horizont 2020 budú tvoriť výdavky súvisiace s bojom proti zmene klímy.</w:t>
      </w:r>
    </w:p>
    <w:p w:rsidR="00E95173" w:rsidRPr="00A74DC4" w:rsidRDefault="00E95173" w:rsidP="00E95173">
      <w:pPr>
        <w:spacing w:before="0" w:after="0"/>
        <w:jc w:val="both"/>
        <w:rPr>
          <w:b w:val="0"/>
          <w:color w:val="008000"/>
          <w:sz w:val="20"/>
        </w:rPr>
      </w:pPr>
    </w:p>
    <w:p w:rsidR="00E95173" w:rsidRPr="00A74DC4" w:rsidRDefault="00E95173" w:rsidP="00E95173">
      <w:pPr>
        <w:spacing w:before="0" w:after="0"/>
        <w:jc w:val="both"/>
        <w:rPr>
          <w:b w:val="0"/>
          <w:color w:val="008000"/>
          <w:sz w:val="20"/>
        </w:rPr>
      </w:pPr>
    </w:p>
    <w:p w:rsidR="00E95173" w:rsidRPr="00A74DC4" w:rsidRDefault="00E95173" w:rsidP="00E95173">
      <w:pPr>
        <w:spacing w:before="0" w:after="0"/>
        <w:jc w:val="both"/>
        <w:rPr>
          <w:b w:val="0"/>
          <w:color w:val="008000"/>
          <w:sz w:val="20"/>
        </w:rPr>
      </w:pPr>
      <w:r w:rsidRPr="00A74DC4">
        <w:rPr>
          <w:color w:val="008000"/>
          <w:sz w:val="20"/>
        </w:rPr>
        <w:t>Rozdelenie finančných prostriedkov v rozpočte programu Horizont 2020</w:t>
      </w:r>
      <w:r w:rsidRPr="00A74DC4">
        <w:rPr>
          <w:b w:val="0"/>
          <w:color w:val="008000"/>
          <w:sz w:val="20"/>
        </w:rPr>
        <w:t>:</w:t>
      </w:r>
    </w:p>
    <w:p w:rsidR="00080E46" w:rsidRPr="00A74DC4" w:rsidRDefault="00080E46" w:rsidP="00E95173">
      <w:pPr>
        <w:spacing w:before="0" w:after="0"/>
        <w:jc w:val="both"/>
        <w:rPr>
          <w:b w:val="0"/>
          <w:color w:val="008000"/>
          <w:sz w:val="20"/>
        </w:rPr>
      </w:pPr>
    </w:p>
    <w:p w:rsidR="00E95173" w:rsidRPr="00A74DC4" w:rsidRDefault="00E95173" w:rsidP="00E95173">
      <w:pPr>
        <w:spacing w:before="0" w:after="0"/>
        <w:jc w:val="both"/>
        <w:rPr>
          <w:b w:val="0"/>
          <w:color w:val="008000"/>
          <w:sz w:val="20"/>
        </w:rPr>
      </w:pPr>
      <w:r w:rsidRPr="00A74DC4">
        <w:rPr>
          <w:b w:val="0"/>
          <w:color w:val="008000"/>
          <w:sz w:val="20"/>
        </w:rPr>
        <w:t xml:space="preserve">- je plne v súlade so stratégiou Európa 2020 prostredníctvom vykonávania iniciatívy Inovácia v Únii, uprednostňovania Digitálnej agendy pre Európu, </w:t>
      </w:r>
      <w:proofErr w:type="spellStart"/>
      <w:r w:rsidRPr="00A74DC4">
        <w:rPr>
          <w:b w:val="0"/>
          <w:color w:val="008000"/>
          <w:sz w:val="20"/>
        </w:rPr>
        <w:t>inkluzívnosti</w:t>
      </w:r>
      <w:proofErr w:type="spellEnd"/>
      <w:r w:rsidRPr="00A74DC4">
        <w:rPr>
          <w:b w:val="0"/>
          <w:color w:val="008000"/>
          <w:sz w:val="20"/>
        </w:rPr>
        <w:t>, energetiky, efektívneho využívania zdrojov, priemyselných technológií, opatrení v oblasti boja proti zmene klímy, ako aj prostredníctvom poskytovania podpory pre vonkajšie politiky Únie;</w:t>
      </w:r>
    </w:p>
    <w:p w:rsidR="00E95173" w:rsidRPr="00A74DC4" w:rsidRDefault="00E95173" w:rsidP="00E95173">
      <w:pPr>
        <w:spacing w:before="0" w:after="0"/>
        <w:jc w:val="both"/>
        <w:rPr>
          <w:b w:val="0"/>
          <w:color w:val="008000"/>
          <w:sz w:val="20"/>
        </w:rPr>
      </w:pPr>
      <w:r w:rsidRPr="00A74DC4">
        <w:rPr>
          <w:b w:val="0"/>
          <w:color w:val="008000"/>
          <w:sz w:val="20"/>
        </w:rPr>
        <w:t>- uprednostňuje výdavky s okamžitým vplyvom na rast a pracovné miesta prostredníctvom rozsiahlych investícií do rizikového financovania, MSP a rozsiahlych pilotných a demonštračných projektov týkajúcich sa kľúčových technológií;</w:t>
      </w:r>
    </w:p>
    <w:p w:rsidR="00E95173" w:rsidRPr="00A74DC4" w:rsidRDefault="00E95173" w:rsidP="00E95173">
      <w:pPr>
        <w:spacing w:before="0" w:after="0"/>
        <w:jc w:val="both"/>
        <w:rPr>
          <w:b w:val="0"/>
          <w:color w:val="008000"/>
          <w:sz w:val="20"/>
        </w:rPr>
      </w:pPr>
      <w:r w:rsidRPr="00A74DC4">
        <w:rPr>
          <w:b w:val="0"/>
          <w:color w:val="008000"/>
          <w:sz w:val="20"/>
        </w:rPr>
        <w:t>- naďalej poskytuje investície do budúcnosti Európy tým, že poskytne výrazný stimul Európskej rade pre výskum, posilní výskum týkajúci sa budúcich a vznikajúcich technológií, zvýši možnosti odbornej prípravy, mobility a kariérneho rozvoja pre mladé talenty a zvýši dôležitosť EIT.</w:t>
      </w:r>
    </w:p>
    <w:p w:rsidR="00E95173" w:rsidRPr="00A74DC4" w:rsidRDefault="00E95173" w:rsidP="00E95173">
      <w:pPr>
        <w:spacing w:before="0" w:after="0"/>
        <w:jc w:val="both"/>
        <w:rPr>
          <w:b w:val="0"/>
          <w:color w:val="008000"/>
          <w:sz w:val="20"/>
        </w:rPr>
      </w:pPr>
      <w:r w:rsidRPr="00A74DC4">
        <w:rPr>
          <w:b w:val="0"/>
          <w:color w:val="008000"/>
          <w:sz w:val="20"/>
        </w:rPr>
        <w:t>- využíva iné verejné a súkromné zdroje financovania s cieľom dosiahnuť podiel na HDP na úrovni 3 %.</w:t>
      </w:r>
    </w:p>
    <w:p w:rsidR="00E95173" w:rsidRPr="00A74DC4" w:rsidRDefault="00E95173" w:rsidP="00E95173">
      <w:pPr>
        <w:spacing w:before="0" w:after="0"/>
        <w:jc w:val="both"/>
        <w:rPr>
          <w:b w:val="0"/>
          <w:color w:val="008000"/>
          <w:sz w:val="20"/>
        </w:rPr>
      </w:pP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color w:val="008000"/>
          <w:sz w:val="20"/>
        </w:rPr>
        <w:t>Zjednodušenie v Horizonte 2020</w:t>
      </w:r>
      <w:r w:rsidRPr="00A74DC4">
        <w:rPr>
          <w:rFonts w:cs="TimesNewRoman"/>
          <w:b w:val="0"/>
          <w:color w:val="008000"/>
          <w:sz w:val="20"/>
        </w:rPr>
        <w:t xml:space="preserve"> je zamerané na dosiahnutie troch všeobecných cieľov:</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1. znížiť administratívne náklady účastníkov</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2. urýchliť všetky procesy týkajúce sa návrhu a riadenia grantov</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3. znížiť finančnú chybovosť.</w:t>
      </w:r>
    </w:p>
    <w:p w:rsidR="00E95173" w:rsidRPr="00A74DC4" w:rsidRDefault="00E95173" w:rsidP="00E95173">
      <w:pPr>
        <w:autoSpaceDE w:val="0"/>
        <w:autoSpaceDN w:val="0"/>
        <w:adjustRightInd w:val="0"/>
        <w:spacing w:before="0" w:after="0"/>
        <w:jc w:val="both"/>
        <w:rPr>
          <w:rFonts w:cs="TimesNewRoman"/>
          <w:b w:val="0"/>
          <w:color w:val="008000"/>
          <w:sz w:val="20"/>
        </w:rPr>
      </w:pP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color w:val="008000"/>
          <w:sz w:val="20"/>
        </w:rPr>
        <w:t>Štrukturálne zjednodušenie</w:t>
      </w:r>
      <w:r w:rsidRPr="00A74DC4">
        <w:rPr>
          <w:rFonts w:cs="TimesNewRoman"/>
          <w:b w:val="0"/>
          <w:color w:val="008000"/>
          <w:sz w:val="20"/>
        </w:rPr>
        <w:t xml:space="preserve"> sa dosiahne prostredníctvom:</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jednoduchšej architektúry programu zameranej na tri strategické ciele, v dôsledku čoho budú môcť účastníci ľahšie zistiť, kde sa nachádzajú možnosti financovania;</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jednotného súboru pravidiel účasti, ktoré sa týkajú napr. oprávnenosti, hodnotenia alebo práv duševného vlastníctva, a vzťahujú sa na všetky zložky programu Horizont 2020 – výnimky by boli možné len v prípadoch odôvodnených špecifickými potrebami;</w:t>
      </w:r>
    </w:p>
    <w:p w:rsidR="00E95173" w:rsidRPr="00A74DC4" w:rsidRDefault="00E95173" w:rsidP="00E95173">
      <w:pPr>
        <w:autoSpaceDE w:val="0"/>
        <w:autoSpaceDN w:val="0"/>
        <w:adjustRightInd w:val="0"/>
        <w:spacing w:before="0" w:after="0"/>
        <w:jc w:val="both"/>
        <w:rPr>
          <w:rFonts w:cs="TimesNewRoman"/>
          <w:b w:val="0"/>
          <w:color w:val="008000"/>
          <w:sz w:val="20"/>
        </w:rPr>
      </w:pP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Symbol"/>
          <w:color w:val="008000"/>
          <w:sz w:val="20"/>
        </w:rPr>
        <w:t>Zjednodušenie pravidiel financovania</w:t>
      </w:r>
      <w:r w:rsidRPr="00A74DC4">
        <w:rPr>
          <w:rFonts w:cs="TimesNewRoman"/>
          <w:color w:val="008000"/>
          <w:sz w:val="20"/>
        </w:rPr>
        <w:t>,</w:t>
      </w:r>
      <w:r w:rsidRPr="00A74DC4">
        <w:rPr>
          <w:rFonts w:cs="TimesNewRoman"/>
          <w:b w:val="0"/>
          <w:color w:val="008000"/>
          <w:sz w:val="20"/>
        </w:rPr>
        <w:t xml:space="preserve"> ktoré zohľadňujú preferencie zainteresovaných strán pokiaľ ide o úhradu skutočných nákladov, budú zahŕňať tieto prvky:</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jednoduchšia úhrada priamych nákladov so širšou akceptáciou zvyčajných účtovníckych postupov príjemcov;</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možnosť používať jednotkové náklady na zamestnancov (priemerné náklady na zamestnancov) vrátane majiteľov malých a stredných podnikov bez mzdy;</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zjednodušenie vedenia záznamov o pracovnom čase prostredníctvom jasného a jednoduchého súboru minimálnych podmienok, najmä zrušenie povinnosti záznamov v prípade pracovníkov pracujúcich výhradne na projekte v rámci programu Horizont 2020;</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jednotná paušálna sadzba používaná pre priame náklady sa vo všeobecnosti bude vzťahovať na nepriame náklady, čím sa odstráni hlavný zdroj finančných chýb a zložitosti;</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jednotná sadzba úhrady pre všetkých účastníkov a všetky činnosti v rámci toho istého projektu;</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paušálne sumy, ocenenia, financovanie na základe výstupov pre konkrétne oblasti, v ktorých sa osvedčila vhodnosť takéhoto prístupu.</w:t>
      </w:r>
    </w:p>
    <w:p w:rsidR="00E95173" w:rsidRPr="00A74DC4" w:rsidRDefault="00E95173" w:rsidP="00E95173">
      <w:pPr>
        <w:autoSpaceDE w:val="0"/>
        <w:autoSpaceDN w:val="0"/>
        <w:adjustRightInd w:val="0"/>
        <w:spacing w:before="0" w:after="0"/>
        <w:jc w:val="both"/>
        <w:rPr>
          <w:rFonts w:cs="TimesNewRoman"/>
          <w:b w:val="0"/>
          <w:color w:val="008000"/>
          <w:sz w:val="20"/>
        </w:rPr>
      </w:pP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color w:val="008000"/>
          <w:sz w:val="20"/>
        </w:rPr>
        <w:t>Revidovaním stratégie kontroly</w:t>
      </w:r>
      <w:r w:rsidRPr="00A74DC4">
        <w:rPr>
          <w:rFonts w:cs="TimesNewRoman"/>
          <w:b w:val="0"/>
          <w:color w:val="008000"/>
          <w:sz w:val="20"/>
        </w:rPr>
        <w:t xml:space="preserve"> sa dosiahne nová rovnováha medzi dôverou a kontrolou a medzi podstupovaním rizika a jeho prevenciou prostredníctvom: </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xml:space="preserve">– rozšírenia garančného fondu na všetky akcie programu Horizont 2020 a vyžadovania </w:t>
      </w:r>
      <w:proofErr w:type="spellStart"/>
      <w:r w:rsidRPr="00A74DC4">
        <w:rPr>
          <w:rFonts w:cs="TimesNewRoman"/>
          <w:b w:val="0"/>
          <w:color w:val="008000"/>
          <w:sz w:val="20"/>
        </w:rPr>
        <w:t>ex-ante</w:t>
      </w:r>
      <w:proofErr w:type="spellEnd"/>
      <w:r w:rsidRPr="00A74DC4">
        <w:rPr>
          <w:rFonts w:cs="TimesNewRoman"/>
          <w:b w:val="0"/>
          <w:color w:val="008000"/>
          <w:sz w:val="20"/>
        </w:rPr>
        <w:t xml:space="preserve"> kontrol finančnej spôsobilosti len pre koordinátorov;</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zníženia počtu potvrdení o finančných vyhláseniach – bude sa vyžadovať len jedno potvrdenie od každého príjemcu na konci projektu;</w:t>
      </w:r>
    </w:p>
    <w:p w:rsidR="00080E46" w:rsidRPr="00A74DC4" w:rsidRDefault="00080E46" w:rsidP="00E95173">
      <w:pPr>
        <w:autoSpaceDE w:val="0"/>
        <w:autoSpaceDN w:val="0"/>
        <w:adjustRightInd w:val="0"/>
        <w:spacing w:before="0" w:after="0"/>
        <w:jc w:val="both"/>
        <w:rPr>
          <w:rFonts w:cs="TimesNewRoman"/>
          <w:b w:val="0"/>
          <w:color w:val="008000"/>
          <w:sz w:val="20"/>
        </w:rPr>
      </w:pPr>
    </w:p>
    <w:p w:rsidR="00080E46" w:rsidRPr="00A74DC4" w:rsidRDefault="00080E46" w:rsidP="00E95173">
      <w:pPr>
        <w:autoSpaceDE w:val="0"/>
        <w:autoSpaceDN w:val="0"/>
        <w:adjustRightInd w:val="0"/>
        <w:spacing w:before="0" w:after="0"/>
        <w:jc w:val="both"/>
        <w:rPr>
          <w:rFonts w:cs="TimesNewRoman"/>
          <w:b w:val="0"/>
          <w:color w:val="008000"/>
          <w:sz w:val="20"/>
        </w:rPr>
      </w:pPr>
    </w:p>
    <w:p w:rsidR="00080E46" w:rsidRPr="00A74DC4" w:rsidRDefault="00080E46" w:rsidP="00E95173">
      <w:pPr>
        <w:autoSpaceDE w:val="0"/>
        <w:autoSpaceDN w:val="0"/>
        <w:adjustRightInd w:val="0"/>
        <w:spacing w:before="0" w:after="0"/>
        <w:jc w:val="both"/>
        <w:rPr>
          <w:rFonts w:cs="TimesNewRoman"/>
          <w:b w:val="0"/>
          <w:color w:val="008000"/>
          <w:sz w:val="20"/>
        </w:rPr>
      </w:pP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xml:space="preserve">– zníženia </w:t>
      </w:r>
      <w:proofErr w:type="spellStart"/>
      <w:r w:rsidRPr="00A74DC4">
        <w:rPr>
          <w:rFonts w:cs="TimesNewRoman"/>
          <w:b w:val="0"/>
          <w:color w:val="008000"/>
          <w:sz w:val="20"/>
        </w:rPr>
        <w:t>auditovej</w:t>
      </w:r>
      <w:proofErr w:type="spellEnd"/>
      <w:r w:rsidRPr="00A74DC4">
        <w:rPr>
          <w:rFonts w:cs="TimesNewRoman"/>
          <w:b w:val="0"/>
          <w:color w:val="008000"/>
          <w:sz w:val="20"/>
        </w:rPr>
        <w:t xml:space="preserve"> záťaže účastníkov prostredníctvom stratégie </w:t>
      </w:r>
      <w:proofErr w:type="spellStart"/>
      <w:r w:rsidRPr="00A74DC4">
        <w:rPr>
          <w:rFonts w:cs="TimesNewRoman"/>
          <w:b w:val="0"/>
          <w:color w:val="008000"/>
          <w:sz w:val="20"/>
        </w:rPr>
        <w:t>ex-post</w:t>
      </w:r>
      <w:proofErr w:type="spellEnd"/>
      <w:r w:rsidRPr="00A74DC4">
        <w:rPr>
          <w:rFonts w:cs="TimesNewRoman"/>
          <w:b w:val="0"/>
          <w:color w:val="008000"/>
          <w:sz w:val="20"/>
        </w:rPr>
        <w:t xml:space="preserve"> kontrol s dôrazom na kontrolu založenú na posúdení rizika a odhaľovanie podvodov, ako aj prostredníctvom konceptu jedného auditu a zníženia obdobia pre </w:t>
      </w:r>
      <w:proofErr w:type="spellStart"/>
      <w:r w:rsidRPr="00A74DC4">
        <w:rPr>
          <w:rFonts w:cs="TimesNewRoman"/>
          <w:b w:val="0"/>
          <w:color w:val="008000"/>
          <w:sz w:val="20"/>
        </w:rPr>
        <w:t>ex-post</w:t>
      </w:r>
      <w:proofErr w:type="spellEnd"/>
      <w:r w:rsidRPr="00A74DC4">
        <w:rPr>
          <w:rFonts w:cs="TimesNewRoman"/>
          <w:b w:val="0"/>
          <w:color w:val="008000"/>
          <w:sz w:val="20"/>
        </w:rPr>
        <w:t xml:space="preserve"> audity z piatich rokov na štyri roky;</w:t>
      </w: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V dôsledku tohto revidovaného prístupu by podliehalo auditu počas celého programovacieho obdobia maximum 7 % príjemcov v rámci programu Horizont 2020;</w:t>
      </w:r>
    </w:p>
    <w:p w:rsidR="00E95173" w:rsidRPr="00A74DC4" w:rsidRDefault="00E95173" w:rsidP="00E95173">
      <w:pPr>
        <w:autoSpaceDE w:val="0"/>
        <w:autoSpaceDN w:val="0"/>
        <w:adjustRightInd w:val="0"/>
        <w:spacing w:before="0" w:after="0"/>
        <w:jc w:val="both"/>
        <w:rPr>
          <w:rFonts w:cs="TimesNewRoman"/>
          <w:b w:val="0"/>
          <w:color w:val="008000"/>
          <w:sz w:val="20"/>
        </w:rPr>
      </w:pPr>
    </w:p>
    <w:p w:rsidR="00E95173" w:rsidRPr="00A74DC4" w:rsidRDefault="00E95173" w:rsidP="00E95173">
      <w:pPr>
        <w:autoSpaceDE w:val="0"/>
        <w:autoSpaceDN w:val="0"/>
        <w:adjustRightInd w:val="0"/>
        <w:spacing w:before="0" w:after="0"/>
        <w:jc w:val="both"/>
        <w:rPr>
          <w:rFonts w:cs="TimesNewRoman"/>
          <w:b w:val="0"/>
          <w:color w:val="008000"/>
          <w:sz w:val="20"/>
        </w:rPr>
      </w:pPr>
      <w:r w:rsidRPr="00A74DC4">
        <w:rPr>
          <w:rFonts w:cs="TimesNewRoman"/>
          <w:b w:val="0"/>
          <w:color w:val="008000"/>
          <w:sz w:val="20"/>
        </w:rPr>
        <w:t xml:space="preserve">Komisia predpokladá </w:t>
      </w:r>
      <w:r w:rsidRPr="00A74DC4">
        <w:rPr>
          <w:rFonts w:cs="TimesNewRoman"/>
          <w:color w:val="008000"/>
          <w:sz w:val="20"/>
        </w:rPr>
        <w:t>skrátenie času do udelenia grantu v priemere o 100 dní</w:t>
      </w:r>
      <w:r w:rsidRPr="00A74DC4">
        <w:rPr>
          <w:rFonts w:cs="TimesNewRoman"/>
          <w:b w:val="0"/>
          <w:color w:val="008000"/>
          <w:sz w:val="20"/>
        </w:rPr>
        <w:t>.</w:t>
      </w:r>
    </w:p>
    <w:p w:rsidR="00E95173" w:rsidRPr="00A74DC4" w:rsidRDefault="00E95173" w:rsidP="00E95173">
      <w:pPr>
        <w:spacing w:before="0" w:after="0"/>
        <w:jc w:val="both"/>
        <w:rPr>
          <w:rFonts w:cs="TimesNewRoman"/>
          <w:b w:val="0"/>
          <w:color w:val="008000"/>
          <w:sz w:val="20"/>
        </w:rPr>
      </w:pPr>
    </w:p>
    <w:p w:rsidR="00080E46" w:rsidRPr="00A74DC4" w:rsidRDefault="00080E46" w:rsidP="00E95173">
      <w:pPr>
        <w:spacing w:before="0" w:after="0"/>
        <w:jc w:val="both"/>
        <w:rPr>
          <w:rFonts w:cs="TimesNewRoman"/>
          <w:b w:val="0"/>
          <w:color w:val="008000"/>
          <w:sz w:val="20"/>
        </w:rPr>
      </w:pPr>
    </w:p>
    <w:p w:rsidR="00E95173" w:rsidRPr="00A74DC4" w:rsidRDefault="00E95173" w:rsidP="00E95173">
      <w:pPr>
        <w:spacing w:before="0" w:after="0"/>
        <w:jc w:val="both"/>
        <w:rPr>
          <w:rFonts w:cs="TimesNewRoman"/>
          <w:color w:val="008000"/>
          <w:sz w:val="20"/>
        </w:rPr>
      </w:pPr>
      <w:r w:rsidRPr="00A74DC4">
        <w:rPr>
          <w:rFonts w:cs="TimesNewRoman"/>
          <w:color w:val="008000"/>
          <w:sz w:val="20"/>
        </w:rPr>
        <w:t>Výška dotácie:</w:t>
      </w:r>
    </w:p>
    <w:p w:rsidR="00E95173" w:rsidRPr="00A74DC4" w:rsidRDefault="00E95173" w:rsidP="00E95173">
      <w:pPr>
        <w:spacing w:before="0" w:after="0"/>
        <w:jc w:val="both"/>
        <w:rPr>
          <w:rFonts w:cs="TimesNewRoman"/>
          <w:b w:val="0"/>
          <w:color w:val="008000"/>
          <w:sz w:val="20"/>
        </w:rPr>
      </w:pPr>
      <w:r w:rsidRPr="00A74DC4">
        <w:rPr>
          <w:rFonts w:cs="TimesNewRoman"/>
          <w:b w:val="0"/>
          <w:color w:val="008000"/>
          <w:sz w:val="20"/>
        </w:rPr>
        <w:t>až 100% pre podporu vedy</w:t>
      </w:r>
    </w:p>
    <w:p w:rsidR="00E95173" w:rsidRPr="00A74DC4" w:rsidRDefault="00E95173" w:rsidP="00E95173">
      <w:pPr>
        <w:spacing w:before="0" w:after="0"/>
        <w:jc w:val="both"/>
        <w:rPr>
          <w:rFonts w:cs="TimesNewRoman"/>
          <w:b w:val="0"/>
          <w:color w:val="008000"/>
          <w:sz w:val="20"/>
        </w:rPr>
      </w:pPr>
      <w:r w:rsidRPr="00A74DC4">
        <w:rPr>
          <w:rFonts w:cs="TimesNewRoman"/>
          <w:b w:val="0"/>
          <w:color w:val="008000"/>
          <w:sz w:val="20"/>
        </w:rPr>
        <w:t>70% pre inovatívne ukážkové projekty</w:t>
      </w:r>
    </w:p>
    <w:p w:rsidR="00E95173" w:rsidRPr="00A74DC4" w:rsidRDefault="00E95173" w:rsidP="00E95173">
      <w:pPr>
        <w:spacing w:before="0" w:after="0"/>
        <w:jc w:val="both"/>
        <w:rPr>
          <w:rFonts w:cs="TimesNewRoman"/>
          <w:b w:val="0"/>
          <w:color w:val="008000"/>
          <w:sz w:val="20"/>
        </w:rPr>
      </w:pPr>
      <w:r w:rsidRPr="00A74DC4">
        <w:rPr>
          <w:rFonts w:cs="TimesNewRoman"/>
          <w:b w:val="0"/>
          <w:color w:val="008000"/>
          <w:sz w:val="20"/>
        </w:rPr>
        <w:t>- zvýšenie nepriamych nákladov až na 25% celkového rozpočtu</w:t>
      </w:r>
    </w:p>
    <w:p w:rsidR="00E95173" w:rsidRPr="00A74DC4" w:rsidRDefault="00E95173" w:rsidP="00E95173">
      <w:pPr>
        <w:spacing w:before="0" w:after="0"/>
        <w:jc w:val="both"/>
        <w:rPr>
          <w:rFonts w:cs="TimesNewRoman"/>
          <w:b w:val="0"/>
          <w:color w:val="008000"/>
          <w:sz w:val="20"/>
        </w:rPr>
      </w:pPr>
    </w:p>
    <w:p w:rsidR="00E95173" w:rsidRPr="00A74DC4" w:rsidRDefault="00E95173" w:rsidP="00E95173">
      <w:pPr>
        <w:spacing w:before="0" w:after="0"/>
        <w:jc w:val="both"/>
        <w:rPr>
          <w:rFonts w:cs="TimesNewRoman"/>
          <w:b w:val="0"/>
          <w:color w:val="008000"/>
          <w:sz w:val="20"/>
        </w:rPr>
      </w:pPr>
    </w:p>
    <w:p w:rsidR="00D57AD8" w:rsidRPr="00A74DC4" w:rsidRDefault="00C92128" w:rsidP="003E7CF5">
      <w:pPr>
        <w:spacing w:before="0" w:after="0"/>
        <w:jc w:val="both"/>
        <w:rPr>
          <w:rFonts w:cs="TimesNewRoman"/>
          <w:color w:val="008000"/>
          <w:sz w:val="20"/>
        </w:rPr>
      </w:pPr>
      <w:r w:rsidRPr="00A74DC4">
        <w:rPr>
          <w:rFonts w:cs="TimesNewRoman"/>
          <w:color w:val="008000"/>
          <w:sz w:val="20"/>
        </w:rPr>
        <w:t>Viac informácií:</w:t>
      </w:r>
    </w:p>
    <w:p w:rsidR="00C92128" w:rsidRPr="00A74DC4" w:rsidRDefault="00FB4E5E" w:rsidP="003E7CF5">
      <w:pPr>
        <w:spacing w:before="0" w:after="0"/>
        <w:jc w:val="both"/>
        <w:rPr>
          <w:rFonts w:cs="TimesNewRoman"/>
          <w:b w:val="0"/>
          <w:color w:val="008000"/>
          <w:sz w:val="20"/>
        </w:rPr>
      </w:pPr>
      <w:hyperlink r:id="rId9" w:history="1">
        <w:r w:rsidR="00C92128" w:rsidRPr="00A74DC4">
          <w:rPr>
            <w:rStyle w:val="Hypertextovprepojenie"/>
            <w:rFonts w:cs="TimesNewRoman"/>
            <w:b w:val="0"/>
            <w:color w:val="008000"/>
            <w:sz w:val="20"/>
            <w:u w:val="none"/>
          </w:rPr>
          <w:t>http://ec.europa.eu/research/horizon2020/index_en.cfm?pg=home</w:t>
        </w:r>
      </w:hyperlink>
      <w:r w:rsidR="00C92128" w:rsidRPr="00A74DC4">
        <w:rPr>
          <w:rFonts w:cs="TimesNewRoman"/>
          <w:b w:val="0"/>
          <w:color w:val="008000"/>
          <w:sz w:val="20"/>
        </w:rPr>
        <w:t xml:space="preserve"> </w:t>
      </w:r>
    </w:p>
    <w:p w:rsidR="00D57AD8" w:rsidRPr="00A74DC4" w:rsidRDefault="00D57AD8" w:rsidP="003E7CF5">
      <w:pPr>
        <w:spacing w:before="0" w:after="0"/>
        <w:jc w:val="both"/>
        <w:rPr>
          <w:rFonts w:ascii="TimesNewRoman" w:hAnsi="TimesNewRoman" w:cs="TimesNewRoman"/>
          <w:b w:val="0"/>
          <w:color w:val="008000"/>
          <w:sz w:val="24"/>
          <w:szCs w:val="24"/>
        </w:rPr>
      </w:pPr>
    </w:p>
    <w:p w:rsidR="0095065F" w:rsidRPr="00A74DC4" w:rsidRDefault="0095065F" w:rsidP="003E7CF5">
      <w:pPr>
        <w:spacing w:before="0" w:after="0"/>
        <w:jc w:val="both"/>
        <w:rPr>
          <w:b w:val="0"/>
          <w:color w:val="008000"/>
          <w:sz w:val="20"/>
        </w:rPr>
      </w:pPr>
    </w:p>
    <w:p w:rsidR="00150353" w:rsidRPr="00A74DC4" w:rsidRDefault="00E169A8" w:rsidP="003E7CF5">
      <w:pPr>
        <w:spacing w:before="0" w:after="0" w:line="276" w:lineRule="auto"/>
        <w:jc w:val="both"/>
        <w:rPr>
          <w:rStyle w:val="Hypertextovprepojenie"/>
          <w:color w:val="008000"/>
          <w:sz w:val="16"/>
          <w:szCs w:val="16"/>
        </w:rPr>
      </w:pPr>
      <w:r w:rsidRPr="00A74DC4">
        <w:rPr>
          <w:color w:val="008000"/>
          <w:sz w:val="16"/>
          <w:szCs w:val="16"/>
        </w:rPr>
        <w:t xml:space="preserve">verejne sprístupnené dielo MEDIA COELI </w:t>
      </w:r>
      <w:r w:rsidRPr="00A74DC4">
        <w:rPr>
          <w:color w:val="008000"/>
          <w:sz w:val="16"/>
          <w:szCs w:val="16"/>
          <w:vertAlign w:val="superscript"/>
        </w:rPr>
        <w:t>®</w:t>
      </w:r>
      <w:r w:rsidRPr="00A74DC4">
        <w:rPr>
          <w:color w:val="008000"/>
          <w:sz w:val="16"/>
          <w:szCs w:val="16"/>
        </w:rPr>
        <w:t xml:space="preserve"> podmienky: </w:t>
      </w:r>
      <w:hyperlink r:id="rId10" w:history="1">
        <w:r w:rsidR="00AE59CA" w:rsidRPr="00A74DC4">
          <w:rPr>
            <w:rStyle w:val="Hypertextovprepojenie"/>
            <w:color w:val="008000"/>
            <w:sz w:val="16"/>
            <w:szCs w:val="16"/>
          </w:rPr>
          <w:t>www.mediacoeli.sk</w:t>
        </w:r>
      </w:hyperlink>
    </w:p>
    <w:p w:rsidR="001F4AB6" w:rsidRPr="00A74DC4" w:rsidRDefault="001F4AB6" w:rsidP="003E7CF5">
      <w:pPr>
        <w:spacing w:before="0" w:after="0" w:line="276" w:lineRule="auto"/>
        <w:jc w:val="both"/>
        <w:rPr>
          <w:color w:val="008000"/>
          <w:sz w:val="16"/>
          <w:szCs w:val="16"/>
        </w:rPr>
      </w:pPr>
    </w:p>
    <w:sdt>
      <w:sdtPr>
        <w:rPr>
          <w:color w:val="008000"/>
          <w:sz w:val="16"/>
          <w:szCs w:val="16"/>
        </w:rPr>
        <w:id w:val="1950342598"/>
        <w:placeholder>
          <w:docPart w:val="DefaultPlaceholder_1082065158"/>
        </w:placeholder>
      </w:sdtPr>
      <w:sdtEndPr/>
      <w:sdtContent>
        <w:bookmarkStart w:id="0" w:name="_GoBack" w:displacedByCustomXml="prev"/>
        <w:p w:rsidR="000F69FA" w:rsidRPr="00A74DC4" w:rsidRDefault="000F69FA" w:rsidP="003E7CF5">
          <w:pPr>
            <w:spacing w:before="0" w:after="0" w:line="276" w:lineRule="auto"/>
            <w:jc w:val="both"/>
            <w:rPr>
              <w:color w:val="008000"/>
              <w:sz w:val="16"/>
              <w:szCs w:val="16"/>
            </w:rPr>
          </w:pPr>
          <w:r w:rsidRPr="00A74DC4">
            <w:rPr>
              <w:color w:val="008000"/>
              <w:sz w:val="16"/>
              <w:szCs w:val="16"/>
            </w:rPr>
            <w:t xml:space="preserve">Váš konzultant: </w:t>
          </w:r>
        </w:p>
        <w:p w:rsidR="00495077" w:rsidRPr="00A74DC4" w:rsidRDefault="00495077" w:rsidP="003E7CF5">
          <w:pPr>
            <w:spacing w:before="0" w:after="0" w:line="276" w:lineRule="auto"/>
            <w:jc w:val="both"/>
            <w:rPr>
              <w:color w:val="008000"/>
              <w:sz w:val="16"/>
              <w:szCs w:val="16"/>
            </w:rPr>
          </w:pPr>
        </w:p>
        <w:p w:rsidR="00093E63" w:rsidRPr="00A74DC4" w:rsidRDefault="00093E63" w:rsidP="003E7CF5">
          <w:pPr>
            <w:spacing w:before="0" w:after="0" w:line="276" w:lineRule="auto"/>
            <w:jc w:val="both"/>
            <w:rPr>
              <w:color w:val="008000"/>
              <w:sz w:val="16"/>
              <w:szCs w:val="16"/>
            </w:rPr>
          </w:pPr>
        </w:p>
        <w:p w:rsidR="000F69FA" w:rsidRPr="00A74DC4" w:rsidRDefault="00FB4E5E" w:rsidP="003E7CF5">
          <w:pPr>
            <w:spacing w:before="0" w:after="0" w:line="276" w:lineRule="auto"/>
            <w:jc w:val="both"/>
            <w:rPr>
              <w:color w:val="008000"/>
              <w:sz w:val="16"/>
              <w:szCs w:val="16"/>
            </w:rPr>
          </w:pPr>
        </w:p>
        <w:bookmarkEnd w:id="0" w:displacedByCustomXml="next"/>
      </w:sdtContent>
    </w:sdt>
    <w:sectPr w:rsidR="000F69FA" w:rsidRPr="00A74DC4" w:rsidSect="006203D3">
      <w:headerReference w:type="default" r:id="rId11"/>
      <w:footerReference w:type="default" r:id="rId12"/>
      <w:pgSz w:w="11906" w:h="16838" w:code="9"/>
      <w:pgMar w:top="284" w:right="851" w:bottom="680" w:left="851" w:header="454"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5E" w:rsidRDefault="00FB4E5E" w:rsidP="00F4420D">
      <w:pPr>
        <w:spacing w:after="0"/>
      </w:pPr>
      <w:r>
        <w:separator/>
      </w:r>
    </w:p>
  </w:endnote>
  <w:endnote w:type="continuationSeparator" w:id="0">
    <w:p w:rsidR="00FB4E5E" w:rsidRDefault="00FB4E5E" w:rsidP="00F442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4D" w:rsidRDefault="003A4705" w:rsidP="009A5A3B">
    <w:pPr>
      <w:pStyle w:val="Pta"/>
      <w:rPr>
        <w:b w:val="0"/>
        <w:color w:val="A6A6A6" w:themeColor="background1" w:themeShade="A6"/>
        <w:sz w:val="16"/>
        <w:szCs w:val="16"/>
      </w:rPr>
    </w:pPr>
    <w:r w:rsidRPr="009A5A3B">
      <w:rPr>
        <w:color w:val="A6A6A6" w:themeColor="background1" w:themeShade="A6"/>
        <w:sz w:val="16"/>
        <w:szCs w:val="16"/>
      </w:rPr>
      <w:t xml:space="preserve">MEDIA COELI </w:t>
    </w:r>
    <w:r w:rsidRPr="009A5A3B">
      <w:rPr>
        <w:color w:val="A6A6A6" w:themeColor="background1" w:themeShade="A6"/>
        <w:sz w:val="16"/>
        <w:szCs w:val="16"/>
        <w:vertAlign w:val="superscript"/>
      </w:rPr>
      <w:t>®</w:t>
    </w:r>
    <w:r w:rsidRPr="009A5A3B">
      <w:rPr>
        <w:color w:val="A6A6A6" w:themeColor="background1" w:themeShade="A6"/>
        <w:sz w:val="16"/>
        <w:szCs w:val="16"/>
      </w:rPr>
      <w:t xml:space="preserve"> </w:t>
    </w:r>
    <w:hyperlink r:id="rId1" w:history="1">
      <w:r w:rsidRPr="009A5A3B">
        <w:rPr>
          <w:rStyle w:val="Hypertextovprepojenie"/>
          <w:color w:val="A6A6A6" w:themeColor="background1" w:themeShade="A6"/>
          <w:sz w:val="16"/>
          <w:szCs w:val="16"/>
          <w:u w:val="none"/>
        </w:rPr>
        <w:t>www.mediacoeli.sk</w:t>
      </w:r>
    </w:hyperlink>
    <w:r w:rsidRPr="009A5A3B">
      <w:rPr>
        <w:color w:val="A6A6A6" w:themeColor="background1" w:themeShade="A6"/>
        <w:sz w:val="16"/>
        <w:szCs w:val="16"/>
      </w:rPr>
      <w:t xml:space="preserve">                                                                                                       Strana </w:t>
    </w:r>
    <w:r w:rsidRPr="009A5A3B">
      <w:rPr>
        <w:b w:val="0"/>
        <w:color w:val="A6A6A6" w:themeColor="background1" w:themeShade="A6"/>
        <w:sz w:val="16"/>
        <w:szCs w:val="16"/>
      </w:rPr>
      <w:fldChar w:fldCharType="begin"/>
    </w:r>
    <w:r w:rsidRPr="009A5A3B">
      <w:rPr>
        <w:color w:val="A6A6A6" w:themeColor="background1" w:themeShade="A6"/>
        <w:sz w:val="16"/>
        <w:szCs w:val="16"/>
      </w:rPr>
      <w:instrText>PAGE  \* Arabic  \* MERGEFORMAT</w:instrText>
    </w:r>
    <w:r w:rsidRPr="009A5A3B">
      <w:rPr>
        <w:b w:val="0"/>
        <w:color w:val="A6A6A6" w:themeColor="background1" w:themeShade="A6"/>
        <w:sz w:val="16"/>
        <w:szCs w:val="16"/>
      </w:rPr>
      <w:fldChar w:fldCharType="separate"/>
    </w:r>
    <w:r w:rsidR="00E0101C" w:rsidRPr="00E0101C">
      <w:rPr>
        <w:b w:val="0"/>
        <w:noProof/>
        <w:color w:val="A6A6A6" w:themeColor="background1" w:themeShade="A6"/>
        <w:sz w:val="16"/>
        <w:szCs w:val="16"/>
      </w:rPr>
      <w:t>5</w:t>
    </w:r>
    <w:r w:rsidRPr="009A5A3B">
      <w:rPr>
        <w:b w:val="0"/>
        <w:color w:val="A6A6A6" w:themeColor="background1" w:themeShade="A6"/>
        <w:sz w:val="16"/>
        <w:szCs w:val="16"/>
      </w:rPr>
      <w:fldChar w:fldCharType="end"/>
    </w:r>
    <w:r w:rsidRPr="009A5A3B">
      <w:rPr>
        <w:color w:val="A6A6A6" w:themeColor="background1" w:themeShade="A6"/>
        <w:sz w:val="16"/>
        <w:szCs w:val="16"/>
      </w:rPr>
      <w:t xml:space="preserve"> z </w:t>
    </w:r>
    <w:r w:rsidRPr="009A5A3B">
      <w:rPr>
        <w:b w:val="0"/>
        <w:color w:val="A6A6A6" w:themeColor="background1" w:themeShade="A6"/>
        <w:sz w:val="16"/>
        <w:szCs w:val="16"/>
      </w:rPr>
      <w:fldChar w:fldCharType="begin"/>
    </w:r>
    <w:r w:rsidRPr="009A5A3B">
      <w:rPr>
        <w:color w:val="A6A6A6" w:themeColor="background1" w:themeShade="A6"/>
        <w:sz w:val="16"/>
        <w:szCs w:val="16"/>
      </w:rPr>
      <w:instrText>NUMPAGES  \* Arabic  \* MERGEFORMAT</w:instrText>
    </w:r>
    <w:r w:rsidRPr="009A5A3B">
      <w:rPr>
        <w:b w:val="0"/>
        <w:color w:val="A6A6A6" w:themeColor="background1" w:themeShade="A6"/>
        <w:sz w:val="16"/>
        <w:szCs w:val="16"/>
      </w:rPr>
      <w:fldChar w:fldCharType="separate"/>
    </w:r>
    <w:r w:rsidR="00E0101C" w:rsidRPr="00E0101C">
      <w:rPr>
        <w:b w:val="0"/>
        <w:noProof/>
        <w:color w:val="A6A6A6" w:themeColor="background1" w:themeShade="A6"/>
        <w:sz w:val="16"/>
        <w:szCs w:val="16"/>
      </w:rPr>
      <w:t>5</w:t>
    </w:r>
    <w:r w:rsidRPr="009A5A3B">
      <w:rPr>
        <w:b w:val="0"/>
        <w:color w:val="A6A6A6" w:themeColor="background1" w:themeShade="A6"/>
        <w:sz w:val="16"/>
        <w:szCs w:val="16"/>
      </w:rPr>
      <w:fldChar w:fldCharType="end"/>
    </w:r>
  </w:p>
  <w:p w:rsidR="009A5A3B" w:rsidRDefault="009A5A3B" w:rsidP="009A5A3B">
    <w:pPr>
      <w:pStyle w:val="Pta"/>
      <w:spacing w:before="0" w:line="276" w:lineRule="auto"/>
      <w:rPr>
        <w:b w:val="0"/>
        <w:color w:val="A6A6A6" w:themeColor="background1" w:themeShade="A6"/>
        <w:sz w:val="16"/>
        <w:szCs w:val="16"/>
      </w:rPr>
    </w:pPr>
  </w:p>
  <w:p w:rsidR="00DC22FE" w:rsidRDefault="00DC22FE" w:rsidP="009A5A3B">
    <w:pPr>
      <w:pStyle w:val="Pta"/>
      <w:spacing w:before="0" w:line="276" w:lineRule="auto"/>
      <w:rPr>
        <w:b w:val="0"/>
        <w:color w:val="A6A6A6" w:themeColor="background1" w:themeShade="A6"/>
        <w:sz w:val="16"/>
        <w:szCs w:val="16"/>
      </w:rPr>
    </w:pPr>
  </w:p>
  <w:p w:rsidR="00DC22FE" w:rsidRPr="009A5A3B" w:rsidRDefault="00DC22FE" w:rsidP="009A5A3B">
    <w:pPr>
      <w:pStyle w:val="Pta"/>
      <w:spacing w:before="0" w:line="276" w:lineRule="auto"/>
      <w:rPr>
        <w:b w:val="0"/>
        <w:color w:val="A6A6A6" w:themeColor="background1" w:themeShade="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5E" w:rsidRDefault="00FB4E5E" w:rsidP="00F4420D">
      <w:pPr>
        <w:spacing w:after="0"/>
      </w:pPr>
      <w:r>
        <w:separator/>
      </w:r>
    </w:p>
  </w:footnote>
  <w:footnote w:type="continuationSeparator" w:id="0">
    <w:p w:rsidR="00FB4E5E" w:rsidRDefault="00FB4E5E" w:rsidP="00F442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FE" w:rsidRPr="003E7CF5" w:rsidRDefault="003E1867" w:rsidP="00A36AFE">
    <w:pPr>
      <w:jc w:val="right"/>
      <w:rPr>
        <w:color w:val="A6A6A6" w:themeColor="background1" w:themeShade="A6"/>
        <w:sz w:val="16"/>
        <w:szCs w:val="16"/>
      </w:rPr>
    </w:pPr>
    <w:r w:rsidRPr="003E7CF5">
      <w:rPr>
        <w:color w:val="A6A6A6" w:themeColor="background1" w:themeShade="A6"/>
        <w:sz w:val="16"/>
        <w:szCs w:val="16"/>
      </w:rPr>
      <w:t>Horizon 2020</w:t>
    </w:r>
  </w:p>
  <w:p w:rsidR="00F4420D" w:rsidRPr="00A36AFE" w:rsidRDefault="00A36AFE" w:rsidP="00A36AFE">
    <w:pPr>
      <w:spacing w:before="0" w:after="0" w:line="276" w:lineRule="auto"/>
      <w:ind w:left="708" w:firstLine="708"/>
      <w:jc w:val="right"/>
      <w:rPr>
        <w:color w:val="5C1E34" w:themeColor="accent1" w:themeShade="80"/>
        <w:sz w:val="16"/>
        <w:szCs w:val="16"/>
      </w:rPr>
    </w:pPr>
    <w:r w:rsidRPr="00A36AFE">
      <w:rPr>
        <w:color w:val="A6A6A6" w:themeColor="background1" w:themeShade="A6"/>
        <w:sz w:val="16"/>
        <w:szCs w:val="16"/>
      </w:rPr>
      <w:t xml:space="preserve">Informácie: Milena Mrvová - MEDIA COELI </w:t>
    </w:r>
    <w:r w:rsidRPr="00A36AFE">
      <w:rPr>
        <w:color w:val="A6A6A6" w:themeColor="background1" w:themeShade="A6"/>
        <w:sz w:val="16"/>
        <w:szCs w:val="16"/>
        <w:vertAlign w:val="superscript"/>
      </w:rPr>
      <w:t>®</w:t>
    </w:r>
    <w:r w:rsidRPr="00A36AFE">
      <w:rPr>
        <w:color w:val="A6A6A6" w:themeColor="background1" w:themeShade="A6"/>
        <w:sz w:val="16"/>
        <w:szCs w:val="16"/>
      </w:rPr>
      <w:t xml:space="preserve">, Pekárska 11, 917 01 Trnava, Slovakia, </w:t>
    </w:r>
    <w:hyperlink r:id="rId1" w:history="1">
      <w:r w:rsidRPr="00A36AFE">
        <w:rPr>
          <w:rStyle w:val="Hypertextovprepojenie"/>
          <w:color w:val="A6A6A6" w:themeColor="background1" w:themeShade="A6"/>
          <w:sz w:val="16"/>
          <w:szCs w:val="16"/>
          <w:u w:val="none"/>
        </w:rPr>
        <w:t>info@mediacoeli.sk</w:t>
      </w:r>
    </w:hyperlink>
    <w:r w:rsidRPr="00A36AFE">
      <w:rPr>
        <w:color w:val="A6A6A6" w:themeColor="background1" w:themeShade="A6"/>
        <w:sz w:val="16"/>
        <w:szCs w:val="16"/>
      </w:rPr>
      <w:t>, SK, CZ: 00421911907188, English, French, German: 00421904807188</w:t>
    </w:r>
    <w:r w:rsidR="00016469" w:rsidRPr="00261341">
      <w:rPr>
        <w:noProof/>
        <w:sz w:val="20"/>
        <w:lang w:eastAsia="sk-SK"/>
      </w:rPr>
      <w:drawing>
        <wp:anchor distT="0" distB="0" distL="114300" distR="114300" simplePos="0" relativeHeight="251659264" behindDoc="1" locked="1" layoutInCell="1" allowOverlap="0" wp14:anchorId="75B3A9E3" wp14:editId="0889512B">
          <wp:simplePos x="0" y="0"/>
          <wp:positionH relativeFrom="column">
            <wp:posOffset>-45085</wp:posOffset>
          </wp:positionH>
          <wp:positionV relativeFrom="page">
            <wp:posOffset>333375</wp:posOffset>
          </wp:positionV>
          <wp:extent cx="723900" cy="723900"/>
          <wp:effectExtent l="0" t="0" r="0" b="0"/>
          <wp:wrapTight wrapText="bothSides">
            <wp:wrapPolygon edited="0">
              <wp:start x="0" y="0"/>
              <wp:lineTo x="0" y="21032"/>
              <wp:lineTo x="21032" y="21032"/>
              <wp:lineTo x="21032" y="0"/>
              <wp:lineTo x="0" y="0"/>
            </wp:wrapPolygon>
          </wp:wrapTight>
          <wp:docPr id="1" name="Obrázok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COELI ® logo.gif"/>
                  <pic:cNvPicPr preferRelativeResize="0"/>
                </pic:nvPicPr>
                <pic:blipFill>
                  <a:blip r:embed="rId3"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ocumentProtection w:edit="forms" w:enforcement="1" w:cryptProviderType="rsaFull" w:cryptAlgorithmClass="hash" w:cryptAlgorithmType="typeAny" w:cryptAlgorithmSid="4" w:cryptSpinCount="100000" w:hash="gASSWCAl887wwf7qJxl36vnkd9w=" w:salt="yrltKaYEt2Xr0NkaBgPyo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03"/>
    <w:rsid w:val="00016469"/>
    <w:rsid w:val="00034545"/>
    <w:rsid w:val="00054332"/>
    <w:rsid w:val="00056D9E"/>
    <w:rsid w:val="000770D1"/>
    <w:rsid w:val="00080E46"/>
    <w:rsid w:val="000928EF"/>
    <w:rsid w:val="00093E63"/>
    <w:rsid w:val="000F69FA"/>
    <w:rsid w:val="00116E14"/>
    <w:rsid w:val="00135392"/>
    <w:rsid w:val="00150353"/>
    <w:rsid w:val="00157167"/>
    <w:rsid w:val="00164B21"/>
    <w:rsid w:val="00166F29"/>
    <w:rsid w:val="00171F91"/>
    <w:rsid w:val="0018154F"/>
    <w:rsid w:val="001932A8"/>
    <w:rsid w:val="001F4AB6"/>
    <w:rsid w:val="00241D19"/>
    <w:rsid w:val="0028147B"/>
    <w:rsid w:val="00310D4D"/>
    <w:rsid w:val="00336689"/>
    <w:rsid w:val="00336A09"/>
    <w:rsid w:val="00343F10"/>
    <w:rsid w:val="00347503"/>
    <w:rsid w:val="00353059"/>
    <w:rsid w:val="00355AA0"/>
    <w:rsid w:val="00357DD7"/>
    <w:rsid w:val="0036304F"/>
    <w:rsid w:val="0037703B"/>
    <w:rsid w:val="00391666"/>
    <w:rsid w:val="003A4705"/>
    <w:rsid w:val="003B24F1"/>
    <w:rsid w:val="003E1867"/>
    <w:rsid w:val="003E7CF5"/>
    <w:rsid w:val="00447FFD"/>
    <w:rsid w:val="00460A9F"/>
    <w:rsid w:val="0047619C"/>
    <w:rsid w:val="00495077"/>
    <w:rsid w:val="004B073A"/>
    <w:rsid w:val="004B5637"/>
    <w:rsid w:val="004D5EC9"/>
    <w:rsid w:val="004E3C47"/>
    <w:rsid w:val="00504833"/>
    <w:rsid w:val="0052339A"/>
    <w:rsid w:val="00536A81"/>
    <w:rsid w:val="00542CC6"/>
    <w:rsid w:val="005642AF"/>
    <w:rsid w:val="005925B6"/>
    <w:rsid w:val="00597F1E"/>
    <w:rsid w:val="005A643E"/>
    <w:rsid w:val="00602EF9"/>
    <w:rsid w:val="006203D3"/>
    <w:rsid w:val="00645C24"/>
    <w:rsid w:val="006636AF"/>
    <w:rsid w:val="00673F90"/>
    <w:rsid w:val="00681C33"/>
    <w:rsid w:val="006B6987"/>
    <w:rsid w:val="0072638E"/>
    <w:rsid w:val="00736B3E"/>
    <w:rsid w:val="00750740"/>
    <w:rsid w:val="00753D5E"/>
    <w:rsid w:val="007617E7"/>
    <w:rsid w:val="00787A94"/>
    <w:rsid w:val="007C3213"/>
    <w:rsid w:val="00804257"/>
    <w:rsid w:val="00854341"/>
    <w:rsid w:val="00894C03"/>
    <w:rsid w:val="00897905"/>
    <w:rsid w:val="008B031E"/>
    <w:rsid w:val="008B6A15"/>
    <w:rsid w:val="008D6AAF"/>
    <w:rsid w:val="008E1333"/>
    <w:rsid w:val="008E1621"/>
    <w:rsid w:val="0090074C"/>
    <w:rsid w:val="00903B51"/>
    <w:rsid w:val="009270AE"/>
    <w:rsid w:val="009302C4"/>
    <w:rsid w:val="00933269"/>
    <w:rsid w:val="0095065F"/>
    <w:rsid w:val="009715A2"/>
    <w:rsid w:val="00975E71"/>
    <w:rsid w:val="00976F00"/>
    <w:rsid w:val="00977888"/>
    <w:rsid w:val="009A5A3B"/>
    <w:rsid w:val="00A157B4"/>
    <w:rsid w:val="00A36AFE"/>
    <w:rsid w:val="00A74DC4"/>
    <w:rsid w:val="00AA5082"/>
    <w:rsid w:val="00AE59CA"/>
    <w:rsid w:val="00B43241"/>
    <w:rsid w:val="00B629D1"/>
    <w:rsid w:val="00BE4284"/>
    <w:rsid w:val="00BF6324"/>
    <w:rsid w:val="00BF7C27"/>
    <w:rsid w:val="00C84B9F"/>
    <w:rsid w:val="00C869DB"/>
    <w:rsid w:val="00C92128"/>
    <w:rsid w:val="00CA4707"/>
    <w:rsid w:val="00CC3E8D"/>
    <w:rsid w:val="00CD484A"/>
    <w:rsid w:val="00CE280D"/>
    <w:rsid w:val="00D0790B"/>
    <w:rsid w:val="00D10615"/>
    <w:rsid w:val="00D51B96"/>
    <w:rsid w:val="00D57AD8"/>
    <w:rsid w:val="00D80350"/>
    <w:rsid w:val="00DB0B54"/>
    <w:rsid w:val="00DC22FE"/>
    <w:rsid w:val="00E0101C"/>
    <w:rsid w:val="00E169A8"/>
    <w:rsid w:val="00E268DD"/>
    <w:rsid w:val="00E26E26"/>
    <w:rsid w:val="00E628C2"/>
    <w:rsid w:val="00E8111B"/>
    <w:rsid w:val="00E95173"/>
    <w:rsid w:val="00EA59F7"/>
    <w:rsid w:val="00EC3558"/>
    <w:rsid w:val="00ED751C"/>
    <w:rsid w:val="00F04A00"/>
    <w:rsid w:val="00F10D78"/>
    <w:rsid w:val="00F4420D"/>
    <w:rsid w:val="00F92162"/>
    <w:rsid w:val="00FB4E5E"/>
    <w:rsid w:val="00FC5201"/>
    <w:rsid w:val="00FD2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 w:type="paragraph" w:styleId="Odsekzoznamu">
    <w:name w:val="List Paragraph"/>
    <w:basedOn w:val="Normlny"/>
    <w:uiPriority w:val="34"/>
    <w:qFormat/>
    <w:rsid w:val="003E7C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 w:type="paragraph" w:styleId="Odsekzoznamu">
    <w:name w:val="List Paragraph"/>
    <w:basedOn w:val="Normlny"/>
    <w:uiPriority w:val="34"/>
    <w:qFormat/>
    <w:rsid w:val="003E7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9793">
      <w:bodyDiv w:val="1"/>
      <w:marLeft w:val="0"/>
      <w:marRight w:val="0"/>
      <w:marTop w:val="0"/>
      <w:marBottom w:val="0"/>
      <w:divBdr>
        <w:top w:val="none" w:sz="0" w:space="0" w:color="auto"/>
        <w:left w:val="none" w:sz="0" w:space="0" w:color="auto"/>
        <w:bottom w:val="none" w:sz="0" w:space="0" w:color="auto"/>
        <w:right w:val="none" w:sz="0" w:space="0" w:color="auto"/>
      </w:divBdr>
    </w:div>
    <w:div w:id="446778235">
      <w:bodyDiv w:val="1"/>
      <w:marLeft w:val="0"/>
      <w:marRight w:val="0"/>
      <w:marTop w:val="0"/>
      <w:marBottom w:val="0"/>
      <w:divBdr>
        <w:top w:val="none" w:sz="0" w:space="0" w:color="auto"/>
        <w:left w:val="none" w:sz="0" w:space="0" w:color="auto"/>
        <w:bottom w:val="none" w:sz="0" w:space="0" w:color="auto"/>
        <w:right w:val="none" w:sz="0" w:space="0" w:color="auto"/>
      </w:divBdr>
    </w:div>
    <w:div w:id="1040593979">
      <w:bodyDiv w:val="1"/>
      <w:marLeft w:val="0"/>
      <w:marRight w:val="0"/>
      <w:marTop w:val="0"/>
      <w:marBottom w:val="0"/>
      <w:divBdr>
        <w:top w:val="none" w:sz="0" w:space="0" w:color="auto"/>
        <w:left w:val="none" w:sz="0" w:space="0" w:color="auto"/>
        <w:bottom w:val="none" w:sz="0" w:space="0" w:color="auto"/>
        <w:right w:val="none" w:sz="0" w:space="0" w:color="auto"/>
      </w:divBdr>
    </w:div>
    <w:div w:id="1492063069">
      <w:bodyDiv w:val="1"/>
      <w:marLeft w:val="0"/>
      <w:marRight w:val="0"/>
      <w:marTop w:val="0"/>
      <w:marBottom w:val="0"/>
      <w:divBdr>
        <w:top w:val="none" w:sz="0" w:space="0" w:color="auto"/>
        <w:left w:val="none" w:sz="0" w:space="0" w:color="auto"/>
        <w:bottom w:val="none" w:sz="0" w:space="0" w:color="auto"/>
        <w:right w:val="none" w:sz="0" w:space="0" w:color="auto"/>
      </w:divBdr>
    </w:div>
    <w:div w:id="20880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diacoeli.sk/detail-29-mediacoeli_Licen&#269;n&#225;_dohoda_na_verejne_spr&#237;stupnen&#233;_diela_MEDIA_COELI_&#174;.html" TargetMode="External"/><Relationship Id="rId4" Type="http://schemas.microsoft.com/office/2007/relationships/stylesWithEffects" Target="stylesWithEffects.xml"/><Relationship Id="rId9" Type="http://schemas.openxmlformats.org/officeDocument/2006/relationships/hyperlink" Target="http://ec.europa.eu/research/horizon2020/index_en.cfm?pg=home"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mediacoeli.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mediacoeli.sk" TargetMode="External"/><Relationship Id="rId1" Type="http://schemas.openxmlformats.org/officeDocument/2006/relationships/hyperlink" Target="mailto:info@mediacoeli.s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Všeobecné"/>
          <w:gallery w:val="placeholder"/>
        </w:category>
        <w:types>
          <w:type w:val="bbPlcHdr"/>
        </w:types>
        <w:behaviors>
          <w:behavior w:val="content"/>
        </w:behaviors>
        <w:guid w:val="{5BAC8B4C-A294-46E1-AF41-6FA4D51C5D09}"/>
      </w:docPartPr>
      <w:docPartBody>
        <w:p w:rsidR="00717489" w:rsidRDefault="00677726">
          <w:r w:rsidRPr="00042CCB">
            <w:rPr>
              <w:rStyle w:val="Textzstupnhosymbolu"/>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26"/>
    <w:rsid w:val="000D76FF"/>
    <w:rsid w:val="00670F02"/>
    <w:rsid w:val="00677726"/>
    <w:rsid w:val="00717489"/>
    <w:rsid w:val="0086398C"/>
    <w:rsid w:val="00A3700D"/>
    <w:rsid w:val="00CD2860"/>
    <w:rsid w:val="00D91FD6"/>
    <w:rsid w:val="00DE406D"/>
    <w:rsid w:val="00DF7D73"/>
    <w:rsid w:val="00E20943"/>
    <w:rsid w:val="00E27A4A"/>
    <w:rsid w:val="00E43644"/>
    <w:rsid w:val="00E52C02"/>
    <w:rsid w:val="00EC78B3"/>
    <w:rsid w:val="00F57172"/>
    <w:rsid w:val="00FE59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B80B1E-DE0C-4330-9523-222F5E73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1919</Words>
  <Characters>10941</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Horizon 2020</vt:lpstr>
    </vt:vector>
  </TitlesOfParts>
  <Company>MEDIA COELI ®, Pekárska 11, 917 01 Trnava, Slovakia, info@mediacoeli.sk, SK, CZ: 00421911907188,  English, French, German: 00421904807188, www.mediacoeli.sk</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 2020</dc:title>
  <dc:creator>MEDIA COELI ®</dc:creator>
  <cp:lastModifiedBy>Milena Mrvová</cp:lastModifiedBy>
  <cp:revision>11</cp:revision>
  <cp:lastPrinted>2013-11-24T14:50:00Z</cp:lastPrinted>
  <dcterms:created xsi:type="dcterms:W3CDTF">2013-06-22T19:30:00Z</dcterms:created>
  <dcterms:modified xsi:type="dcterms:W3CDTF">2013-11-24T14:56:00Z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