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1C4D51" w:rsidRDefault="00357DD7" w:rsidP="006C4838">
      <w:pPr>
        <w:spacing w:before="0" w:after="0"/>
        <w:jc w:val="both"/>
        <w:rPr>
          <w:color w:val="9900CC"/>
          <w:sz w:val="20"/>
        </w:rPr>
      </w:pPr>
    </w:p>
    <w:p w:rsidR="007C6778" w:rsidRPr="001C4D51" w:rsidRDefault="007C6778" w:rsidP="006C4838">
      <w:pPr>
        <w:spacing w:before="0" w:after="0"/>
        <w:jc w:val="both"/>
        <w:rPr>
          <w:color w:val="9900CC"/>
          <w:sz w:val="20"/>
        </w:rPr>
      </w:pPr>
    </w:p>
    <w:p w:rsidR="00F60602" w:rsidRPr="001C4D51" w:rsidRDefault="00F60602" w:rsidP="00E83129">
      <w:pPr>
        <w:spacing w:before="0" w:after="0"/>
        <w:jc w:val="center"/>
        <w:rPr>
          <w:color w:val="9900CC"/>
          <w:sz w:val="20"/>
        </w:rPr>
      </w:pPr>
    </w:p>
    <w:p w:rsidR="003B5F1A" w:rsidRPr="001C4D51" w:rsidRDefault="003B5F1A" w:rsidP="00E83129">
      <w:pPr>
        <w:spacing w:before="0" w:after="0"/>
        <w:jc w:val="center"/>
        <w:rPr>
          <w:color w:val="9900CC"/>
          <w:sz w:val="20"/>
        </w:rPr>
      </w:pPr>
    </w:p>
    <w:p w:rsidR="003B5F1A" w:rsidRPr="001C4D51" w:rsidRDefault="003B5F1A" w:rsidP="00E83129">
      <w:pPr>
        <w:spacing w:before="0" w:after="0"/>
        <w:jc w:val="center"/>
        <w:rPr>
          <w:color w:val="9900CC"/>
          <w:sz w:val="20"/>
        </w:rPr>
      </w:pPr>
    </w:p>
    <w:p w:rsidR="002D5BCD" w:rsidRPr="001C4D51" w:rsidRDefault="002D5BCD" w:rsidP="00E83129">
      <w:pPr>
        <w:spacing w:before="0" w:after="0"/>
        <w:jc w:val="center"/>
        <w:rPr>
          <w:color w:val="9900CC"/>
          <w:sz w:val="20"/>
        </w:rPr>
      </w:pPr>
    </w:p>
    <w:p w:rsidR="00E83129" w:rsidRPr="001C4D51" w:rsidRDefault="00E83129" w:rsidP="002D5BCD">
      <w:pPr>
        <w:spacing w:before="0" w:after="0"/>
        <w:rPr>
          <w:color w:val="9900CC"/>
          <w:sz w:val="20"/>
        </w:rPr>
      </w:pPr>
      <w:r w:rsidRPr="001C4D51">
        <w:rPr>
          <w:color w:val="9900CC"/>
          <w:sz w:val="20"/>
        </w:rPr>
        <w:t>Súčasnosť a budúcnosť dotačného financovania EÚ</w:t>
      </w:r>
    </w:p>
    <w:p w:rsidR="00D52F8F" w:rsidRPr="001C4D51" w:rsidRDefault="00D52F8F" w:rsidP="006C4838">
      <w:pPr>
        <w:spacing w:before="0" w:after="0"/>
        <w:jc w:val="both"/>
        <w:rPr>
          <w:color w:val="9900CC"/>
          <w:sz w:val="20"/>
        </w:rPr>
      </w:pPr>
    </w:p>
    <w:p w:rsidR="001B6D8A" w:rsidRPr="001C4D51" w:rsidRDefault="00D52F8F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b w:val="0"/>
          <w:color w:val="9900CC"/>
          <w:sz w:val="20"/>
        </w:rPr>
        <w:t xml:space="preserve">Jedným z prínosov členstva Slovenskej republiky v Európskej únii je fakt, že slovenské subjekty sa môžu rozvíjať aj s pomocou nenávratných finančných príspevkov z rozpočtu EÚ. </w:t>
      </w:r>
      <w:r w:rsidR="001B6D8A" w:rsidRPr="001C4D51">
        <w:rPr>
          <w:b w:val="0"/>
          <w:color w:val="9900CC"/>
          <w:sz w:val="20"/>
        </w:rPr>
        <w:t>Celý dotačný systém má niekoľko úrovní:</w:t>
      </w:r>
    </w:p>
    <w:p w:rsidR="00333A97" w:rsidRPr="001C4D51" w:rsidRDefault="00333A97" w:rsidP="006C4838">
      <w:pPr>
        <w:spacing w:before="0" w:after="0"/>
        <w:jc w:val="both"/>
        <w:rPr>
          <w:b w:val="0"/>
          <w:color w:val="9900CC"/>
          <w:sz w:val="20"/>
        </w:rPr>
      </w:pPr>
    </w:p>
    <w:p w:rsidR="003B5F1A" w:rsidRPr="001C4D51" w:rsidRDefault="003B5F1A" w:rsidP="006C4838">
      <w:pPr>
        <w:spacing w:before="0" w:after="0"/>
        <w:jc w:val="both"/>
        <w:rPr>
          <w:b w:val="0"/>
          <w:color w:val="9900CC"/>
          <w:sz w:val="20"/>
        </w:rPr>
      </w:pPr>
    </w:p>
    <w:p w:rsidR="001B6D8A" w:rsidRPr="001C4D51" w:rsidRDefault="00936D45" w:rsidP="006C4838">
      <w:pPr>
        <w:spacing w:before="0" w:after="0"/>
        <w:jc w:val="both"/>
        <w:rPr>
          <w:color w:val="9900CC"/>
          <w:sz w:val="20"/>
        </w:rPr>
      </w:pPr>
      <w:r w:rsidRPr="001C4D51">
        <w:rPr>
          <w:color w:val="9900CC"/>
          <w:sz w:val="20"/>
        </w:rPr>
        <w:t xml:space="preserve">1. </w:t>
      </w:r>
      <w:hyperlink r:id="rId10" w:history="1">
        <w:r w:rsidRPr="001C4D51">
          <w:rPr>
            <w:rStyle w:val="Hypertextovprepojenie"/>
            <w:color w:val="9900CC"/>
            <w:sz w:val="20"/>
          </w:rPr>
          <w:t>Dotačné</w:t>
        </w:r>
        <w:r w:rsidR="001B6D8A" w:rsidRPr="001C4D51">
          <w:rPr>
            <w:rStyle w:val="Hypertextovprepojenie"/>
            <w:color w:val="9900CC"/>
            <w:sz w:val="20"/>
          </w:rPr>
          <w:t xml:space="preserve"> schémy EÚ</w:t>
        </w:r>
      </w:hyperlink>
    </w:p>
    <w:p w:rsidR="0051693C" w:rsidRPr="001C4D51" w:rsidRDefault="0051693C" w:rsidP="006C4838">
      <w:pPr>
        <w:spacing w:before="0" w:after="0"/>
        <w:jc w:val="both"/>
        <w:rPr>
          <w:color w:val="9900CC"/>
          <w:sz w:val="20"/>
        </w:rPr>
      </w:pPr>
      <w:r w:rsidRPr="001C4D51">
        <w:rPr>
          <w:color w:val="9900CC"/>
          <w:sz w:val="20"/>
        </w:rPr>
        <w:t xml:space="preserve">2. </w:t>
      </w:r>
      <w:r w:rsidR="00F11318" w:rsidRPr="001C4D51">
        <w:rPr>
          <w:color w:val="9900CC"/>
          <w:sz w:val="20"/>
        </w:rPr>
        <w:t xml:space="preserve">niektoré </w:t>
      </w:r>
      <w:hyperlink r:id="rId11" w:history="1">
        <w:r w:rsidRPr="001C4D51">
          <w:rPr>
            <w:rStyle w:val="Hypertextovprepojenie"/>
            <w:color w:val="9900CC"/>
            <w:sz w:val="20"/>
          </w:rPr>
          <w:t>Nástroje finan</w:t>
        </w:r>
        <w:r w:rsidR="00F11318" w:rsidRPr="001C4D51">
          <w:rPr>
            <w:rStyle w:val="Hypertextovprepojenie"/>
            <w:color w:val="9900CC"/>
            <w:sz w:val="20"/>
          </w:rPr>
          <w:t>čného inžinierstva</w:t>
        </w:r>
      </w:hyperlink>
      <w:r w:rsidR="00F11318" w:rsidRPr="001C4D51">
        <w:rPr>
          <w:color w:val="9900CC"/>
          <w:sz w:val="20"/>
        </w:rPr>
        <w:t xml:space="preserve"> - </w:t>
      </w:r>
      <w:r w:rsidRPr="001C4D51">
        <w:rPr>
          <w:color w:val="9900CC"/>
          <w:sz w:val="20"/>
        </w:rPr>
        <w:t>Finančné nástroje EÚ</w:t>
      </w:r>
    </w:p>
    <w:p w:rsidR="001B6D8A" w:rsidRPr="001C4D51" w:rsidRDefault="00333A97" w:rsidP="002B680F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color w:val="9900CC"/>
          <w:sz w:val="20"/>
        </w:rPr>
        <w:t>3</w:t>
      </w:r>
      <w:r w:rsidR="00C37611" w:rsidRPr="001C4D51">
        <w:rPr>
          <w:color w:val="9900CC"/>
          <w:sz w:val="20"/>
        </w:rPr>
        <w:t xml:space="preserve">. </w:t>
      </w:r>
      <w:hyperlink r:id="rId12" w:history="1">
        <w:r w:rsidR="001B6D8A" w:rsidRPr="001C4D51">
          <w:rPr>
            <w:rStyle w:val="Hypertextovprepojenie"/>
            <w:color w:val="9900CC"/>
            <w:sz w:val="20"/>
          </w:rPr>
          <w:t>Dotácie EÚ na národnej úrovni</w:t>
        </w:r>
      </w:hyperlink>
      <w:r w:rsidR="001B6D8A" w:rsidRPr="001C4D51">
        <w:rPr>
          <w:b w:val="0"/>
          <w:color w:val="9900CC"/>
          <w:sz w:val="20"/>
        </w:rPr>
        <w:t xml:space="preserve"> (Národný strategický referenčný rámec 2007 – 2013,</w:t>
      </w:r>
      <w:r w:rsidRPr="001C4D51">
        <w:rPr>
          <w:b w:val="0"/>
          <w:color w:val="9900CC"/>
          <w:sz w:val="20"/>
        </w:rPr>
        <w:t xml:space="preserve"> Partnerská zmluva 2014-2020)</w:t>
      </w:r>
    </w:p>
    <w:p w:rsidR="00333A97" w:rsidRPr="001C4D51" w:rsidRDefault="00333A97" w:rsidP="006C4838">
      <w:pPr>
        <w:spacing w:before="0" w:after="0"/>
        <w:jc w:val="both"/>
        <w:rPr>
          <w:b w:val="0"/>
          <w:color w:val="9900CC"/>
          <w:sz w:val="20"/>
        </w:rPr>
      </w:pPr>
    </w:p>
    <w:p w:rsidR="00D52F8F" w:rsidRPr="001C4D51" w:rsidRDefault="00333A97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b w:val="0"/>
          <w:color w:val="9900CC"/>
          <w:sz w:val="20"/>
        </w:rPr>
        <w:t>Doplnkovým zdrojom financovania projektov sú:</w:t>
      </w:r>
    </w:p>
    <w:p w:rsidR="00333A97" w:rsidRPr="001C4D51" w:rsidRDefault="00333A97" w:rsidP="006C4838">
      <w:pPr>
        <w:spacing w:before="0" w:after="0"/>
        <w:jc w:val="both"/>
        <w:rPr>
          <w:color w:val="9900CC"/>
          <w:sz w:val="20"/>
        </w:rPr>
      </w:pPr>
      <w:r w:rsidRPr="001C4D51">
        <w:rPr>
          <w:color w:val="9900CC"/>
          <w:sz w:val="20"/>
        </w:rPr>
        <w:t xml:space="preserve">4. </w:t>
      </w:r>
      <w:hyperlink r:id="rId13" w:history="1">
        <w:r w:rsidRPr="001C4D51">
          <w:rPr>
            <w:rStyle w:val="Hypertextovprepojenie"/>
            <w:color w:val="9900CC"/>
            <w:sz w:val="20"/>
          </w:rPr>
          <w:t>štátne dotácie na úrovni SR</w:t>
        </w:r>
      </w:hyperlink>
    </w:p>
    <w:p w:rsidR="00333A97" w:rsidRPr="001C4D51" w:rsidRDefault="00333A97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color w:val="9900CC"/>
          <w:sz w:val="20"/>
        </w:rPr>
        <w:t xml:space="preserve">5. </w:t>
      </w:r>
      <w:hyperlink r:id="rId14" w:history="1">
        <w:r w:rsidRPr="001C4D51">
          <w:rPr>
            <w:rStyle w:val="Hypertextovprepojenie"/>
            <w:color w:val="9900CC"/>
            <w:sz w:val="20"/>
          </w:rPr>
          <w:t>granty medzinárodných a domácich nadácií</w:t>
        </w:r>
      </w:hyperlink>
      <w:r w:rsidRPr="001C4D51">
        <w:rPr>
          <w:b w:val="0"/>
          <w:color w:val="9900CC"/>
          <w:sz w:val="20"/>
        </w:rPr>
        <w:t>, súkromných subjektov a pod.</w:t>
      </w:r>
    </w:p>
    <w:p w:rsidR="00333A97" w:rsidRPr="001C4D51" w:rsidRDefault="00333A97" w:rsidP="006C4838">
      <w:pPr>
        <w:spacing w:before="0" w:after="0"/>
        <w:jc w:val="both"/>
        <w:rPr>
          <w:b w:val="0"/>
          <w:color w:val="9900CC"/>
          <w:sz w:val="20"/>
        </w:rPr>
      </w:pPr>
    </w:p>
    <w:p w:rsidR="003B5F1A" w:rsidRPr="001C4D51" w:rsidRDefault="003B5F1A" w:rsidP="006C4838">
      <w:pPr>
        <w:spacing w:before="0" w:after="0"/>
        <w:jc w:val="both"/>
        <w:rPr>
          <w:b w:val="0"/>
          <w:color w:val="9900CC"/>
          <w:sz w:val="20"/>
        </w:rPr>
      </w:pPr>
    </w:p>
    <w:p w:rsidR="00014B83" w:rsidRPr="001C4D51" w:rsidRDefault="00014B83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b w:val="0"/>
          <w:color w:val="9900CC"/>
          <w:sz w:val="20"/>
        </w:rPr>
        <w:t xml:space="preserve">V rozpočtovom období 2007 – 2013 bol dotačný systém stále značne neprehľadný a dokonca v priebehu obdobia vznikali nové schémy financovania rôznych projektov (napríklad finančné mechanizmy EÚ). V dôsledku finančnej krízy a poznatkom z dovtedajšieho čerpania fondov však Európska komisia zverejnila zámer dôslednejšie využívať dostupné finančné zdroje, zjednodušiť systém a využiť ho aj na podporu ekonomického rastu v Európe. </w:t>
      </w:r>
    </w:p>
    <w:p w:rsidR="004E16CD" w:rsidRPr="001C4D51" w:rsidRDefault="004E16CD" w:rsidP="006C4838">
      <w:pPr>
        <w:spacing w:before="0" w:after="0"/>
        <w:jc w:val="both"/>
        <w:rPr>
          <w:b w:val="0"/>
          <w:color w:val="9900CC"/>
          <w:sz w:val="20"/>
        </w:rPr>
      </w:pPr>
    </w:p>
    <w:p w:rsidR="00435D97" w:rsidRPr="001C4D51" w:rsidRDefault="00014B83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b w:val="0"/>
          <w:color w:val="9900CC"/>
          <w:sz w:val="20"/>
        </w:rPr>
        <w:t>Na rozdiel od predchádzajúceho obdobia, kedy si národné vlády určili v tzv. národných strategických referenčných rámcoch svoje priority a ciele pri využívaní fondov, pre rozpočtové obdobie 2014 – 2020 Komisia najprv predstavila Stratégiu Eur</w:t>
      </w:r>
      <w:r w:rsidR="004B3244" w:rsidRPr="001C4D51">
        <w:rPr>
          <w:b w:val="0"/>
          <w:color w:val="9900CC"/>
          <w:sz w:val="20"/>
        </w:rPr>
        <w:t>ópa</w:t>
      </w:r>
      <w:r w:rsidRPr="001C4D51">
        <w:rPr>
          <w:b w:val="0"/>
          <w:color w:val="9900CC"/>
          <w:sz w:val="20"/>
        </w:rPr>
        <w:t xml:space="preserve"> 2020, potom na ňu naviazala svoje predstavy o rozpočte do roku 2020. Konkrétne v prípade dotačných systémov je najväčšou zmenou fakt, že je definovaný Spoločný strategický rámec</w:t>
      </w:r>
      <w:r w:rsidR="00435D97" w:rsidRPr="001C4D51">
        <w:rPr>
          <w:b w:val="0"/>
          <w:color w:val="9900CC"/>
          <w:sz w:val="20"/>
        </w:rPr>
        <w:t xml:space="preserve"> EÚ</w:t>
      </w:r>
      <w:r w:rsidR="004B3244" w:rsidRPr="001C4D51">
        <w:rPr>
          <w:b w:val="0"/>
          <w:color w:val="9900CC"/>
          <w:sz w:val="20"/>
        </w:rPr>
        <w:t xml:space="preserve"> (vychádza z Politiky súdržnosti EÚ 2014-2020)</w:t>
      </w:r>
      <w:r w:rsidRPr="001C4D51">
        <w:rPr>
          <w:b w:val="0"/>
          <w:color w:val="9900CC"/>
          <w:sz w:val="20"/>
        </w:rPr>
        <w:t xml:space="preserve">, ktorý sa zameriava na presne definovaný a obmedzený </w:t>
      </w:r>
      <w:r w:rsidR="004B3244" w:rsidRPr="001C4D51">
        <w:rPr>
          <w:b w:val="0"/>
          <w:color w:val="9900CC"/>
          <w:sz w:val="20"/>
        </w:rPr>
        <w:t>počet tematických cieľov</w:t>
      </w:r>
      <w:r w:rsidRPr="001C4D51">
        <w:rPr>
          <w:b w:val="0"/>
          <w:color w:val="9900CC"/>
          <w:sz w:val="20"/>
        </w:rPr>
        <w:t>.</w:t>
      </w:r>
      <w:r w:rsidR="00157E0C" w:rsidRPr="001C4D51">
        <w:rPr>
          <w:b w:val="0"/>
          <w:color w:val="9900CC"/>
          <w:sz w:val="20"/>
        </w:rPr>
        <w:t xml:space="preserve"> </w:t>
      </w:r>
      <w:r w:rsidR="00435D97" w:rsidRPr="001C4D51">
        <w:rPr>
          <w:b w:val="0"/>
          <w:color w:val="9900CC"/>
          <w:sz w:val="20"/>
        </w:rPr>
        <w:t>Tento spoločný strategický rámec zadefinuje kľúčové aktivity pre fondy politiky súdržnosti EÚ, Európskeho poľnohospodárskeho fondu pre rozvoj vidieka a Európskeho fondu námorného a rybného hospodárstva za účelom napĺňania cieľov stratégie Európa 2020. Na základe Spoločného strategického rámca EU si členské štáty pripravia tzv. Zmluvy o rozvojovom a investičnom partnerstve (partnerské zmluvy).</w:t>
      </w:r>
    </w:p>
    <w:p w:rsidR="00435D97" w:rsidRPr="001C4D51" w:rsidRDefault="00435D97" w:rsidP="006C4838">
      <w:pPr>
        <w:spacing w:before="0" w:after="0"/>
        <w:jc w:val="both"/>
        <w:rPr>
          <w:b w:val="0"/>
          <w:color w:val="9900CC"/>
          <w:sz w:val="20"/>
        </w:rPr>
      </w:pPr>
    </w:p>
    <w:p w:rsidR="003B5F1A" w:rsidRPr="001C4D51" w:rsidRDefault="003B5F1A" w:rsidP="006C4838">
      <w:pPr>
        <w:spacing w:before="0" w:after="0"/>
        <w:jc w:val="both"/>
        <w:rPr>
          <w:b w:val="0"/>
          <w:color w:val="9900CC"/>
          <w:sz w:val="20"/>
        </w:rPr>
      </w:pPr>
    </w:p>
    <w:p w:rsidR="002D5BCD" w:rsidRPr="001C4D51" w:rsidRDefault="002D5BCD" w:rsidP="006C4838">
      <w:pPr>
        <w:spacing w:before="0" w:after="0"/>
        <w:jc w:val="both"/>
        <w:rPr>
          <w:b w:val="0"/>
          <w:color w:val="9900CC"/>
          <w:sz w:val="20"/>
        </w:rPr>
      </w:pPr>
    </w:p>
    <w:p w:rsidR="004B3244" w:rsidRPr="001C4D51" w:rsidRDefault="00435D97" w:rsidP="006C4838">
      <w:pPr>
        <w:spacing w:before="0" w:after="0"/>
        <w:jc w:val="both"/>
        <w:rPr>
          <w:color w:val="9900CC"/>
          <w:sz w:val="20"/>
        </w:rPr>
      </w:pPr>
      <w:r w:rsidRPr="001C4D51">
        <w:rPr>
          <w:color w:val="9900CC"/>
          <w:sz w:val="20"/>
        </w:rPr>
        <w:t>Politika súdržnosti a z nej vyplývajúca spoločná stratégia sa zamerajú na dva ciele:</w:t>
      </w:r>
    </w:p>
    <w:p w:rsidR="00435D97" w:rsidRPr="001C4D51" w:rsidRDefault="00435D97" w:rsidP="006C4838">
      <w:pPr>
        <w:spacing w:before="0" w:after="0"/>
        <w:jc w:val="both"/>
        <w:rPr>
          <w:b w:val="0"/>
          <w:color w:val="9900CC"/>
          <w:sz w:val="20"/>
        </w:rPr>
      </w:pPr>
    </w:p>
    <w:p w:rsidR="00435D97" w:rsidRPr="001C4D51" w:rsidRDefault="00435D97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b w:val="0"/>
          <w:color w:val="9900CC"/>
          <w:sz w:val="20"/>
        </w:rPr>
        <w:t>1. Investovanie do rastu a zamestnanosti</w:t>
      </w:r>
    </w:p>
    <w:p w:rsidR="00435D97" w:rsidRPr="001C4D51" w:rsidRDefault="00435D97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b w:val="0"/>
          <w:color w:val="9900CC"/>
          <w:sz w:val="20"/>
        </w:rPr>
        <w:t>2. Európska územná spolupráca</w:t>
      </w:r>
    </w:p>
    <w:p w:rsidR="00435D97" w:rsidRPr="001C4D51" w:rsidRDefault="00435D97" w:rsidP="006C4838">
      <w:pPr>
        <w:spacing w:before="0" w:after="0"/>
        <w:jc w:val="both"/>
        <w:rPr>
          <w:b w:val="0"/>
          <w:color w:val="9900CC"/>
          <w:sz w:val="20"/>
        </w:rPr>
      </w:pPr>
    </w:p>
    <w:p w:rsidR="004B3244" w:rsidRPr="001C4D51" w:rsidRDefault="00157E0C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b w:val="0"/>
          <w:color w:val="9900CC"/>
          <w:sz w:val="20"/>
        </w:rPr>
        <w:t>Na úrovni únie sú budú tieto ciele premietať do spôsobu využitia prostriedkov z Kohézneho fondu, Európskeho sociálneho fondu, Európskeho fondu regionálneho rozvoja</w:t>
      </w:r>
      <w:r w:rsidR="004B3244" w:rsidRPr="001C4D51">
        <w:rPr>
          <w:b w:val="0"/>
          <w:color w:val="9900CC"/>
          <w:sz w:val="20"/>
        </w:rPr>
        <w:t>, Európsky poľnohospodársky fond na rozvoj vidieka, Európsky fond námorného a rybného hospodárstva. Motívom je zlepšenie koordinácie a harmonizácie využívania fondov EÚ</w:t>
      </w:r>
      <w:r w:rsidRPr="001C4D51">
        <w:rPr>
          <w:b w:val="0"/>
          <w:color w:val="9900CC"/>
          <w:sz w:val="20"/>
        </w:rPr>
        <w:t>.</w:t>
      </w:r>
      <w:r w:rsidR="00014B83" w:rsidRPr="001C4D51">
        <w:rPr>
          <w:b w:val="0"/>
          <w:color w:val="9900CC"/>
          <w:sz w:val="20"/>
        </w:rPr>
        <w:t xml:space="preserve"> </w:t>
      </w:r>
    </w:p>
    <w:p w:rsidR="00333A97" w:rsidRPr="001C4D51" w:rsidRDefault="00157E0C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b w:val="0"/>
          <w:color w:val="9900CC"/>
          <w:sz w:val="20"/>
        </w:rPr>
        <w:t>Spoločné c</w:t>
      </w:r>
      <w:r w:rsidR="00014B83" w:rsidRPr="001C4D51">
        <w:rPr>
          <w:b w:val="0"/>
          <w:color w:val="9900CC"/>
          <w:sz w:val="20"/>
        </w:rPr>
        <w:t xml:space="preserve">iele sú potom na </w:t>
      </w:r>
      <w:r w:rsidR="00C07AE1" w:rsidRPr="001C4D51">
        <w:rPr>
          <w:b w:val="0"/>
          <w:color w:val="9900CC"/>
          <w:sz w:val="20"/>
        </w:rPr>
        <w:t>národnej úrovni premietnuté do n</w:t>
      </w:r>
      <w:r w:rsidR="00014B83" w:rsidRPr="001C4D51">
        <w:rPr>
          <w:b w:val="0"/>
          <w:color w:val="9900CC"/>
          <w:sz w:val="20"/>
        </w:rPr>
        <w:t>árodných</w:t>
      </w:r>
      <w:r w:rsidR="00C07AE1" w:rsidRPr="001C4D51">
        <w:rPr>
          <w:b w:val="0"/>
          <w:color w:val="9900CC"/>
          <w:sz w:val="20"/>
        </w:rPr>
        <w:t xml:space="preserve"> </w:t>
      </w:r>
      <w:r w:rsidR="00435D97" w:rsidRPr="001C4D51">
        <w:rPr>
          <w:b w:val="0"/>
          <w:color w:val="9900CC"/>
          <w:sz w:val="20"/>
        </w:rPr>
        <w:t xml:space="preserve">regionálnych </w:t>
      </w:r>
      <w:r w:rsidR="00C07AE1" w:rsidRPr="001C4D51">
        <w:rPr>
          <w:b w:val="0"/>
          <w:color w:val="9900CC"/>
          <w:sz w:val="20"/>
        </w:rPr>
        <w:t>stratégií</w:t>
      </w:r>
      <w:r w:rsidR="00435D97" w:rsidRPr="001C4D51">
        <w:rPr>
          <w:b w:val="0"/>
          <w:color w:val="9900CC"/>
          <w:sz w:val="20"/>
        </w:rPr>
        <w:t xml:space="preserve"> rozvoja</w:t>
      </w:r>
      <w:r w:rsidR="00C07AE1" w:rsidRPr="001C4D51">
        <w:rPr>
          <w:b w:val="0"/>
          <w:color w:val="9900CC"/>
          <w:sz w:val="20"/>
        </w:rPr>
        <w:t xml:space="preserve"> a následne do partnerských zmlúv medzi národnou vládou a Komisiou.</w:t>
      </w:r>
      <w:r w:rsidR="00435D97" w:rsidRPr="001C4D51">
        <w:rPr>
          <w:b w:val="0"/>
          <w:color w:val="9900CC"/>
          <w:sz w:val="20"/>
        </w:rPr>
        <w:t xml:space="preserve"> V zmluvách o partnerstve (nahradia Národný strategický referenčný rámec) budú zakotvené operačné programy, v rámci ktorých sa budú napĺňať ciele Spoločného strategického rámca v miestnych podmienkach národného štátu. Okrem toho budú partnerské zmluvy obsahovať aj jasný záväzok národného štátu na dosahovaní cieľov E</w:t>
      </w:r>
      <w:r w:rsidR="00DA6D11" w:rsidRPr="001C4D51">
        <w:rPr>
          <w:b w:val="0"/>
          <w:color w:val="9900CC"/>
          <w:sz w:val="20"/>
        </w:rPr>
        <w:t>Ú a plnenie týchto záväzkov bude podmienkou pre čerpanie alokovaných zdrojov.</w:t>
      </w:r>
    </w:p>
    <w:p w:rsidR="00DA6D11" w:rsidRPr="001C4D51" w:rsidRDefault="00DA6D11" w:rsidP="006C4838">
      <w:pPr>
        <w:spacing w:before="0" w:after="0"/>
        <w:jc w:val="both"/>
        <w:rPr>
          <w:b w:val="0"/>
          <w:color w:val="9900CC"/>
          <w:sz w:val="20"/>
        </w:rPr>
      </w:pPr>
    </w:p>
    <w:p w:rsidR="003B5F1A" w:rsidRPr="001C4D51" w:rsidRDefault="003B5F1A" w:rsidP="006C4838">
      <w:pPr>
        <w:spacing w:before="0" w:after="0"/>
        <w:jc w:val="both"/>
        <w:rPr>
          <w:b w:val="0"/>
          <w:color w:val="9900CC"/>
          <w:sz w:val="20"/>
        </w:rPr>
      </w:pPr>
    </w:p>
    <w:p w:rsidR="003B5F1A" w:rsidRPr="001C4D51" w:rsidRDefault="003B5F1A" w:rsidP="006C4838">
      <w:pPr>
        <w:spacing w:before="0" w:after="0"/>
        <w:jc w:val="both"/>
        <w:rPr>
          <w:b w:val="0"/>
          <w:color w:val="9900CC"/>
          <w:sz w:val="20"/>
        </w:rPr>
      </w:pPr>
    </w:p>
    <w:p w:rsidR="003B5F1A" w:rsidRPr="001C4D51" w:rsidRDefault="003B5F1A" w:rsidP="006C4838">
      <w:pPr>
        <w:spacing w:before="0" w:after="0"/>
        <w:jc w:val="both"/>
        <w:rPr>
          <w:color w:val="9900CC"/>
          <w:sz w:val="20"/>
        </w:rPr>
      </w:pPr>
    </w:p>
    <w:p w:rsidR="003B5F1A" w:rsidRPr="001C4D51" w:rsidRDefault="003B5F1A" w:rsidP="006C4838">
      <w:pPr>
        <w:spacing w:before="0" w:after="0"/>
        <w:jc w:val="both"/>
        <w:rPr>
          <w:color w:val="9900CC"/>
          <w:sz w:val="20"/>
        </w:rPr>
      </w:pPr>
    </w:p>
    <w:p w:rsidR="003B5F1A" w:rsidRPr="001C4D51" w:rsidRDefault="003B5F1A" w:rsidP="006C4838">
      <w:pPr>
        <w:spacing w:before="0" w:after="0"/>
        <w:jc w:val="both"/>
        <w:rPr>
          <w:color w:val="9900CC"/>
          <w:sz w:val="20"/>
        </w:rPr>
      </w:pPr>
    </w:p>
    <w:p w:rsidR="00157E0C" w:rsidRPr="001C4D51" w:rsidRDefault="00157E0C" w:rsidP="006C4838">
      <w:pPr>
        <w:spacing w:before="0" w:after="0"/>
        <w:jc w:val="both"/>
        <w:rPr>
          <w:color w:val="9900CC"/>
          <w:sz w:val="20"/>
        </w:rPr>
      </w:pPr>
      <w:r w:rsidRPr="001C4D51">
        <w:rPr>
          <w:color w:val="9900CC"/>
          <w:sz w:val="20"/>
        </w:rPr>
        <w:t>Medzi tematické ciele Spoločného strategického rámca EÚ patria:</w:t>
      </w:r>
    </w:p>
    <w:p w:rsidR="003B5F1A" w:rsidRPr="001C4D51" w:rsidRDefault="003B5F1A" w:rsidP="006C4838">
      <w:pPr>
        <w:spacing w:before="0" w:after="0"/>
        <w:jc w:val="both"/>
        <w:rPr>
          <w:color w:val="9900CC"/>
          <w:sz w:val="20"/>
        </w:rPr>
      </w:pPr>
    </w:p>
    <w:p w:rsidR="00157E0C" w:rsidRPr="001C4D51" w:rsidRDefault="00157E0C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b w:val="0"/>
          <w:color w:val="9900CC"/>
          <w:sz w:val="20"/>
        </w:rPr>
        <w:t>- výskum a inovácie</w:t>
      </w:r>
    </w:p>
    <w:p w:rsidR="00157E0C" w:rsidRPr="001C4D51" w:rsidRDefault="00157E0C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b w:val="0"/>
          <w:color w:val="9900CC"/>
          <w:sz w:val="20"/>
        </w:rPr>
        <w:t>- informačné a komunikačné technológie</w:t>
      </w:r>
    </w:p>
    <w:p w:rsidR="00157E0C" w:rsidRPr="001C4D51" w:rsidRDefault="00157E0C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b w:val="0"/>
          <w:color w:val="9900CC"/>
          <w:sz w:val="20"/>
        </w:rPr>
        <w:t>- konkurencieschopnosť malých a stredných podnikov</w:t>
      </w:r>
    </w:p>
    <w:p w:rsidR="00157E0C" w:rsidRPr="001C4D51" w:rsidRDefault="00157E0C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b w:val="0"/>
          <w:color w:val="9900CC"/>
          <w:sz w:val="20"/>
        </w:rPr>
        <w:t>- prechod na nízkouhlíkové hospodárstvo</w:t>
      </w:r>
    </w:p>
    <w:p w:rsidR="00157E0C" w:rsidRPr="001C4D51" w:rsidRDefault="00157E0C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b w:val="0"/>
          <w:color w:val="9900CC"/>
          <w:sz w:val="20"/>
        </w:rPr>
        <w:t>- prispôsobovanie sa zmene klímy – prevencia a riadenie rizika</w:t>
      </w:r>
    </w:p>
    <w:p w:rsidR="00157E0C" w:rsidRPr="001C4D51" w:rsidRDefault="00157E0C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b w:val="0"/>
          <w:color w:val="9900CC"/>
          <w:sz w:val="20"/>
        </w:rPr>
        <w:t>- ochrana životného prostredia a účinnosť využívania zdrojov</w:t>
      </w:r>
    </w:p>
    <w:p w:rsidR="00157E0C" w:rsidRPr="001C4D51" w:rsidRDefault="00157E0C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b w:val="0"/>
          <w:color w:val="9900CC"/>
          <w:sz w:val="20"/>
        </w:rPr>
        <w:t>- udržateľná doprava a odstraňovanie prekážok v rámci kľúčovej sieťovej infraštruktúry</w:t>
      </w:r>
    </w:p>
    <w:p w:rsidR="00C8710E" w:rsidRPr="001C4D51" w:rsidRDefault="00157E0C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b w:val="0"/>
          <w:color w:val="9900CC"/>
          <w:sz w:val="20"/>
        </w:rPr>
        <w:t>- zamestnanosť a podpora pracovnej mobility</w:t>
      </w:r>
    </w:p>
    <w:p w:rsidR="00DA6D11" w:rsidRPr="001C4D51" w:rsidRDefault="00157E0C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b w:val="0"/>
          <w:color w:val="9900CC"/>
          <w:sz w:val="20"/>
        </w:rPr>
        <w:t xml:space="preserve">- sociálne začleňovanie (inklúzia) a boj </w:t>
      </w:r>
      <w:r w:rsidR="00C8710E" w:rsidRPr="001C4D51">
        <w:rPr>
          <w:b w:val="0"/>
          <w:color w:val="9900CC"/>
          <w:sz w:val="20"/>
        </w:rPr>
        <w:t>proti chudobe</w:t>
      </w:r>
    </w:p>
    <w:p w:rsidR="00157E0C" w:rsidRPr="001C4D51" w:rsidRDefault="00157E0C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b w:val="0"/>
          <w:color w:val="9900CC"/>
          <w:sz w:val="20"/>
        </w:rPr>
        <w:t>- vzdelávanie, zručnosti a celoživotné vzdelávanie</w:t>
      </w:r>
    </w:p>
    <w:p w:rsidR="00157E0C" w:rsidRPr="001C4D51" w:rsidRDefault="00157E0C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b w:val="0"/>
          <w:color w:val="9900CC"/>
          <w:sz w:val="20"/>
        </w:rPr>
        <w:t>- budovanie inštitucionálnych kapacít a účinné orgány verejnej správy</w:t>
      </w:r>
    </w:p>
    <w:p w:rsidR="004E16CD" w:rsidRPr="001C4D51" w:rsidRDefault="004E16CD" w:rsidP="006C4838">
      <w:pPr>
        <w:spacing w:before="0" w:after="0"/>
        <w:jc w:val="both"/>
        <w:rPr>
          <w:b w:val="0"/>
          <w:color w:val="9900CC"/>
          <w:sz w:val="20"/>
        </w:rPr>
      </w:pPr>
    </w:p>
    <w:p w:rsidR="00157E0C" w:rsidRPr="001C4D51" w:rsidRDefault="0026276A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b w:val="0"/>
          <w:color w:val="9900CC"/>
          <w:sz w:val="20"/>
        </w:rPr>
        <w:t>Dôležitými procedurálnymi zmenami sú:</w:t>
      </w:r>
      <w:r w:rsidR="00157E0C" w:rsidRPr="001C4D51">
        <w:rPr>
          <w:b w:val="0"/>
          <w:color w:val="9900CC"/>
          <w:sz w:val="20"/>
        </w:rPr>
        <w:t xml:space="preserve"> zavedenie spoločných pravidiel pre používanie prostriedkov v rámci </w:t>
      </w:r>
      <w:r w:rsidR="004E16CD" w:rsidRPr="001C4D51">
        <w:rPr>
          <w:b w:val="0"/>
          <w:color w:val="9900CC"/>
          <w:sz w:val="20"/>
        </w:rPr>
        <w:t>spoločného strategického rámca</w:t>
      </w:r>
      <w:r w:rsidRPr="001C4D51">
        <w:rPr>
          <w:b w:val="0"/>
          <w:color w:val="9900CC"/>
          <w:sz w:val="20"/>
        </w:rPr>
        <w:t>; možnosť financovania jedného programu z viacerých fondov (EFRR, ESF, Kohézny fond); a zjednodušený systém – zosúladené pravidlá v oblasti oprávnenosti a trvania, výraznejšie využívanie zjednodušených výdavkov, spájanie platieb s výdavkami, jednotné kontaktné miesto pre príjemcov, vyvážený prístup v oblasti kontroly.</w:t>
      </w:r>
    </w:p>
    <w:p w:rsidR="0026276A" w:rsidRPr="001C4D51" w:rsidRDefault="0026276A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b w:val="0"/>
          <w:color w:val="9900CC"/>
          <w:sz w:val="20"/>
        </w:rPr>
        <w:t>V novom programovacom období sa tiež posilnia tzv. finančné nástroje (</w:t>
      </w:r>
      <w:hyperlink r:id="rId15" w:history="1">
        <w:r w:rsidRPr="001C4D51">
          <w:rPr>
            <w:rStyle w:val="Hypertextovprepojenie"/>
            <w:b w:val="0"/>
            <w:color w:val="9900CC"/>
            <w:sz w:val="20"/>
          </w:rPr>
          <w:t>ELENA</w:t>
        </w:r>
      </w:hyperlink>
      <w:r w:rsidRPr="001C4D51">
        <w:rPr>
          <w:b w:val="0"/>
          <w:color w:val="9900CC"/>
          <w:sz w:val="20"/>
        </w:rPr>
        <w:t xml:space="preserve">, </w:t>
      </w:r>
      <w:hyperlink r:id="rId16" w:history="1">
        <w:r w:rsidRPr="001C4D51">
          <w:rPr>
            <w:rStyle w:val="Hypertextovprepojenie"/>
            <w:b w:val="0"/>
            <w:color w:val="9900CC"/>
            <w:sz w:val="20"/>
          </w:rPr>
          <w:t>JASPERS</w:t>
        </w:r>
      </w:hyperlink>
      <w:r w:rsidRPr="001C4D51">
        <w:rPr>
          <w:b w:val="0"/>
          <w:color w:val="9900CC"/>
          <w:sz w:val="20"/>
        </w:rPr>
        <w:t xml:space="preserve">, </w:t>
      </w:r>
      <w:hyperlink r:id="rId17" w:history="1">
        <w:r w:rsidRPr="001C4D51">
          <w:rPr>
            <w:rStyle w:val="Hypertextovprepojenie"/>
            <w:b w:val="0"/>
            <w:color w:val="9900CC"/>
            <w:sz w:val="20"/>
          </w:rPr>
          <w:t>JEREMIE</w:t>
        </w:r>
      </w:hyperlink>
      <w:r w:rsidRPr="001C4D51">
        <w:rPr>
          <w:b w:val="0"/>
          <w:color w:val="9900CC"/>
          <w:sz w:val="20"/>
        </w:rPr>
        <w:t xml:space="preserve">, </w:t>
      </w:r>
      <w:hyperlink r:id="rId18" w:history="1">
        <w:r w:rsidRPr="001C4D51">
          <w:rPr>
            <w:rStyle w:val="Hypertextovprepojenie"/>
            <w:b w:val="0"/>
            <w:color w:val="9900CC"/>
            <w:sz w:val="20"/>
          </w:rPr>
          <w:t>JESSICA</w:t>
        </w:r>
      </w:hyperlink>
      <w:r w:rsidRPr="001C4D51">
        <w:rPr>
          <w:b w:val="0"/>
          <w:color w:val="9900CC"/>
          <w:sz w:val="20"/>
        </w:rPr>
        <w:t>, JASMINE a pod.) a umožní sa využívanie podobných alebo inovovaných finančných nástrojov prispôsobených miestnym podmienkam.</w:t>
      </w:r>
    </w:p>
    <w:p w:rsidR="00DB13DE" w:rsidRPr="001C4D51" w:rsidRDefault="00DB13DE" w:rsidP="006C4838">
      <w:pPr>
        <w:spacing w:before="0" w:after="0"/>
        <w:jc w:val="both"/>
        <w:rPr>
          <w:b w:val="0"/>
          <w:color w:val="9900CC"/>
          <w:sz w:val="20"/>
        </w:rPr>
      </w:pPr>
    </w:p>
    <w:p w:rsidR="002D5BCD" w:rsidRPr="001C4D51" w:rsidRDefault="002D5BCD" w:rsidP="006C4838">
      <w:pPr>
        <w:spacing w:before="0" w:after="0"/>
        <w:jc w:val="both"/>
        <w:rPr>
          <w:b w:val="0"/>
          <w:color w:val="9900CC"/>
          <w:sz w:val="20"/>
        </w:rPr>
      </w:pPr>
    </w:p>
    <w:p w:rsidR="00C8710E" w:rsidRPr="001C4D51" w:rsidRDefault="004E16CD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color w:val="9900CC"/>
          <w:sz w:val="20"/>
        </w:rPr>
        <w:t xml:space="preserve">Z nového </w:t>
      </w:r>
      <w:r w:rsidR="00C8710E" w:rsidRPr="001C4D51">
        <w:rPr>
          <w:color w:val="9900CC"/>
          <w:sz w:val="20"/>
        </w:rPr>
        <w:t>dotačného balíka bude možné čerpať už od 1. januára 2014. Podmienkou je však prijatie rozpočtu EÚ v Európskom parlamente v lete 2013. Čo sa týka grantových schém EÚ a niektorých finančných nástrojov, tieto otvoria nové výzvy na predkladanie žiadostí už začiatkom roku 2014.</w:t>
      </w:r>
      <w:r w:rsidR="002D5BCD" w:rsidRPr="001C4D51">
        <w:rPr>
          <w:color w:val="9900CC"/>
          <w:sz w:val="20"/>
        </w:rPr>
        <w:t xml:space="preserve"> V dotáciách</w:t>
      </w:r>
      <w:r w:rsidR="00C8710E" w:rsidRPr="001C4D51">
        <w:rPr>
          <w:color w:val="9900CC"/>
          <w:sz w:val="20"/>
        </w:rPr>
        <w:t xml:space="preserve"> na úrovni Slovenskej republiky, teda v rámci národného strategického rámca, reálnemu vyhláseniu výziev na predkladanie žiadostí musí ešte predchádzať viacero legislatívnych krokov</w:t>
      </w:r>
      <w:r w:rsidR="00C8710E" w:rsidRPr="001C4D51">
        <w:rPr>
          <w:b w:val="0"/>
          <w:color w:val="9900CC"/>
          <w:sz w:val="20"/>
        </w:rPr>
        <w:t xml:space="preserve"> (za predpokladu, že potrebná legislatíva bude schválená v Európskom parlamente do leta 2013):</w:t>
      </w:r>
    </w:p>
    <w:p w:rsidR="002D5BCD" w:rsidRPr="001C4D51" w:rsidRDefault="002D5BCD" w:rsidP="006C4838">
      <w:pPr>
        <w:spacing w:before="0" w:after="0"/>
        <w:jc w:val="both"/>
        <w:rPr>
          <w:b w:val="0"/>
          <w:color w:val="9900CC"/>
          <w:sz w:val="20"/>
        </w:rPr>
      </w:pPr>
    </w:p>
    <w:p w:rsidR="00C8710E" w:rsidRPr="001C4D51" w:rsidRDefault="00C8710E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b w:val="0"/>
          <w:color w:val="9900CC"/>
          <w:sz w:val="20"/>
        </w:rPr>
        <w:t>- 4 mesiace po schválení všeobecného nariadenia bude v SR prijatý Spoločný strategický rámec (cca október 2013)</w:t>
      </w:r>
    </w:p>
    <w:p w:rsidR="00DB13DE" w:rsidRPr="001C4D51" w:rsidRDefault="00C8710E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b w:val="0"/>
          <w:color w:val="9900CC"/>
          <w:sz w:val="20"/>
        </w:rPr>
        <w:t>- do 3 mesiacov od prijatia SSR zašle Slovensko Európskej komisii partnerskú zmluvu (cca január 2014)</w:t>
      </w:r>
    </w:p>
    <w:p w:rsidR="00C8710E" w:rsidRPr="001C4D51" w:rsidRDefault="00C8710E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b w:val="0"/>
          <w:color w:val="9900CC"/>
          <w:sz w:val="20"/>
        </w:rPr>
        <w:t>- SR predloží partnerskú zmluvu zároveň s operačnými programami s výnimkou programov Európskej územnej spolupráce, ktoré sa predkladajú do 6 mesiacov od schválenia Spoločného strategického rámca</w:t>
      </w:r>
    </w:p>
    <w:p w:rsidR="00C8710E" w:rsidRPr="001C4D51" w:rsidRDefault="00C8710E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b w:val="0"/>
          <w:color w:val="9900CC"/>
          <w:sz w:val="20"/>
        </w:rPr>
        <w:t>- Európska komisia predloží pripomienky SR do 3 mesiacov od dátumu predloženia partnerskej zmluvy – cca apríl 2014</w:t>
      </w:r>
    </w:p>
    <w:p w:rsidR="00C8710E" w:rsidRPr="001C4D51" w:rsidRDefault="006B0ABE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b w:val="0"/>
          <w:color w:val="9900CC"/>
          <w:sz w:val="20"/>
        </w:rPr>
        <w:t>- v prípade zohľadnenia všetkých pripomienok Komisie bude schválená partnerská zmluva prostredníctvom Európskej komisie najneskôr 6 mesiacov po jej predložení SR (cca júl 2014)</w:t>
      </w:r>
    </w:p>
    <w:p w:rsidR="006B0ABE" w:rsidRPr="001C4D51" w:rsidRDefault="006B0ABE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b w:val="0"/>
          <w:color w:val="9900CC"/>
          <w:sz w:val="20"/>
        </w:rPr>
        <w:t>- Európska komisia schváli každý operačný program najneskôr 6 mesiacov po jeho formálnom predložení SR za predpokladu, že všetky pripomienky Komisie boli uspokojivo zohľadnené (júl 2014)</w:t>
      </w:r>
    </w:p>
    <w:p w:rsidR="006B0ABE" w:rsidRPr="001C4D51" w:rsidRDefault="006B0ABE" w:rsidP="006C4838">
      <w:pPr>
        <w:spacing w:before="0" w:after="0"/>
        <w:jc w:val="both"/>
        <w:rPr>
          <w:b w:val="0"/>
          <w:color w:val="9900CC"/>
          <w:sz w:val="20"/>
        </w:rPr>
      </w:pPr>
    </w:p>
    <w:p w:rsidR="00815B92" w:rsidRPr="001C4D51" w:rsidRDefault="006B0ABE" w:rsidP="006C4838">
      <w:pPr>
        <w:spacing w:before="0" w:after="0"/>
        <w:jc w:val="both"/>
        <w:rPr>
          <w:b w:val="0"/>
          <w:color w:val="9900CC"/>
          <w:sz w:val="20"/>
        </w:rPr>
      </w:pPr>
      <w:r w:rsidRPr="001C4D51">
        <w:rPr>
          <w:b w:val="0"/>
          <w:color w:val="9900CC"/>
          <w:sz w:val="20"/>
        </w:rPr>
        <w:t xml:space="preserve">Vyššie uvedené dokumenty nemôžu nadobudnúť platnosť pred 1. januárom 2014. V praxi to znamená, že s výnimkou veľkých projektov (cez </w:t>
      </w:r>
      <w:hyperlink r:id="rId19" w:history="1">
        <w:r w:rsidRPr="001C4D51">
          <w:rPr>
            <w:rStyle w:val="Hypertextovprepojenie"/>
            <w:b w:val="0"/>
            <w:color w:val="9900CC"/>
            <w:sz w:val="20"/>
          </w:rPr>
          <w:t>TEN-T</w:t>
        </w:r>
      </w:hyperlink>
      <w:r w:rsidRPr="001C4D51">
        <w:rPr>
          <w:b w:val="0"/>
          <w:color w:val="9900CC"/>
          <w:sz w:val="20"/>
        </w:rPr>
        <w:t xml:space="preserve"> a pod.) bude možné očakávať výzvy najskôr v druhej polovici roku 2014.</w:t>
      </w:r>
      <w:r w:rsidR="00815B92" w:rsidRPr="001C4D51">
        <w:rPr>
          <w:b w:val="0"/>
          <w:color w:val="9900CC"/>
          <w:sz w:val="20"/>
        </w:rPr>
        <w:t xml:space="preserve"> Jednotlivé úrovne dotačného systému sú podrobnejšie popísané v samostatných častiach</w:t>
      </w:r>
      <w:r w:rsidR="000564B7" w:rsidRPr="001C4D51">
        <w:rPr>
          <w:b w:val="0"/>
          <w:color w:val="9900CC"/>
          <w:sz w:val="20"/>
        </w:rPr>
        <w:t xml:space="preserve"> materiálov spoločnosti MEDIA COELI </w:t>
      </w:r>
      <w:r w:rsidR="000564B7" w:rsidRPr="001C4D51">
        <w:rPr>
          <w:b w:val="0"/>
          <w:color w:val="9900CC"/>
          <w:sz w:val="20"/>
          <w:vertAlign w:val="superscript"/>
        </w:rPr>
        <w:t>®</w:t>
      </w:r>
      <w:r w:rsidR="000564B7" w:rsidRPr="001C4D51">
        <w:rPr>
          <w:b w:val="0"/>
          <w:color w:val="9900CC"/>
          <w:sz w:val="20"/>
        </w:rPr>
        <w:t>.</w:t>
      </w:r>
    </w:p>
    <w:p w:rsidR="006B0ABE" w:rsidRPr="001C4D51" w:rsidRDefault="006B0ABE" w:rsidP="006C4838">
      <w:pPr>
        <w:spacing w:before="0" w:after="0"/>
        <w:jc w:val="both"/>
        <w:rPr>
          <w:b w:val="0"/>
          <w:color w:val="9900CC"/>
          <w:sz w:val="20"/>
        </w:rPr>
      </w:pPr>
    </w:p>
    <w:p w:rsidR="0095065F" w:rsidRPr="001C4D51" w:rsidRDefault="0095065F" w:rsidP="006C4838">
      <w:pPr>
        <w:spacing w:before="0" w:after="0"/>
        <w:jc w:val="both"/>
        <w:rPr>
          <w:color w:val="9900CC"/>
          <w:sz w:val="20"/>
        </w:rPr>
      </w:pPr>
    </w:p>
    <w:p w:rsidR="0095065F" w:rsidRPr="001C4D51" w:rsidRDefault="0095065F" w:rsidP="006C4838">
      <w:pPr>
        <w:spacing w:before="0" w:after="0"/>
        <w:jc w:val="both"/>
        <w:rPr>
          <w:color w:val="9900CC"/>
          <w:sz w:val="20"/>
        </w:rPr>
      </w:pPr>
    </w:p>
    <w:p w:rsidR="00150353" w:rsidRPr="001C4D51" w:rsidRDefault="00E169A8" w:rsidP="006C4838">
      <w:pPr>
        <w:spacing w:before="0" w:after="0" w:line="276" w:lineRule="auto"/>
        <w:jc w:val="both"/>
        <w:rPr>
          <w:rStyle w:val="Hypertextovprepojenie"/>
          <w:color w:val="9900CC"/>
          <w:sz w:val="16"/>
          <w:szCs w:val="16"/>
        </w:rPr>
      </w:pPr>
      <w:r w:rsidRPr="001C4D51">
        <w:rPr>
          <w:color w:val="9900CC"/>
          <w:sz w:val="16"/>
          <w:szCs w:val="16"/>
        </w:rPr>
        <w:t xml:space="preserve">verejne sprístupnené dielo MEDIA COELI </w:t>
      </w:r>
      <w:r w:rsidRPr="001C4D51">
        <w:rPr>
          <w:color w:val="9900CC"/>
          <w:sz w:val="16"/>
          <w:szCs w:val="16"/>
          <w:vertAlign w:val="superscript"/>
        </w:rPr>
        <w:t>®</w:t>
      </w:r>
      <w:r w:rsidRPr="001C4D51">
        <w:rPr>
          <w:color w:val="9900CC"/>
          <w:sz w:val="16"/>
          <w:szCs w:val="16"/>
        </w:rPr>
        <w:t xml:space="preserve"> podmienky: </w:t>
      </w:r>
      <w:hyperlink r:id="rId20" w:history="1">
        <w:r w:rsidR="00AE59CA" w:rsidRPr="001C4D51">
          <w:rPr>
            <w:rStyle w:val="Hypertextovprepojenie"/>
            <w:color w:val="9900CC"/>
            <w:sz w:val="16"/>
            <w:szCs w:val="16"/>
          </w:rPr>
          <w:t>www.mediacoeli.sk</w:t>
        </w:r>
      </w:hyperlink>
    </w:p>
    <w:p w:rsidR="001F4AB6" w:rsidRPr="001C4D51" w:rsidRDefault="001F4AB6" w:rsidP="006C4838">
      <w:pPr>
        <w:spacing w:before="0" w:after="0" w:line="276" w:lineRule="auto"/>
        <w:jc w:val="both"/>
        <w:rPr>
          <w:color w:val="9900CC"/>
          <w:sz w:val="16"/>
          <w:szCs w:val="16"/>
        </w:rPr>
      </w:pPr>
    </w:p>
    <w:sdt>
      <w:sdtPr>
        <w:rPr>
          <w:color w:val="9900CC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1C4D51" w:rsidRDefault="000F69FA" w:rsidP="006C4838">
          <w:pPr>
            <w:spacing w:before="0" w:after="0" w:line="276" w:lineRule="auto"/>
            <w:jc w:val="both"/>
            <w:rPr>
              <w:color w:val="9900CC"/>
              <w:sz w:val="16"/>
              <w:szCs w:val="16"/>
            </w:rPr>
          </w:pPr>
          <w:r w:rsidRPr="001C4D51">
            <w:rPr>
              <w:color w:val="9900CC"/>
              <w:sz w:val="16"/>
              <w:szCs w:val="16"/>
            </w:rPr>
            <w:t xml:space="preserve">Váš konzultant: </w:t>
          </w:r>
        </w:p>
        <w:p w:rsidR="00495077" w:rsidRPr="001C4D51" w:rsidRDefault="00495077" w:rsidP="006C4838">
          <w:pPr>
            <w:spacing w:before="0" w:after="0" w:line="276" w:lineRule="auto"/>
            <w:jc w:val="both"/>
            <w:rPr>
              <w:color w:val="9900CC"/>
              <w:sz w:val="16"/>
              <w:szCs w:val="16"/>
            </w:rPr>
          </w:pPr>
        </w:p>
        <w:p w:rsidR="00093E63" w:rsidRPr="001C4D51" w:rsidRDefault="00093E63" w:rsidP="006C4838">
          <w:pPr>
            <w:spacing w:before="0" w:after="0" w:line="276" w:lineRule="auto"/>
            <w:jc w:val="both"/>
            <w:rPr>
              <w:color w:val="9900CC"/>
              <w:sz w:val="16"/>
              <w:szCs w:val="16"/>
            </w:rPr>
          </w:pPr>
        </w:p>
        <w:p w:rsidR="000F69FA" w:rsidRPr="001C4D51" w:rsidRDefault="007070F4" w:rsidP="006C4838">
          <w:pPr>
            <w:spacing w:before="0" w:after="0" w:line="276" w:lineRule="auto"/>
            <w:jc w:val="both"/>
            <w:rPr>
              <w:color w:val="9900CC"/>
              <w:sz w:val="20"/>
            </w:rPr>
          </w:pPr>
        </w:p>
        <w:bookmarkEnd w:id="0" w:displacedByCustomXml="next"/>
      </w:sdtContent>
    </w:sdt>
    <w:sectPr w:rsidR="000F69FA" w:rsidRPr="001C4D51" w:rsidSect="006203D3">
      <w:headerReference w:type="default" r:id="rId21"/>
      <w:footerReference w:type="default" r:id="rId22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0F4" w:rsidRDefault="007070F4" w:rsidP="00F4420D">
      <w:pPr>
        <w:spacing w:after="0"/>
      </w:pPr>
      <w:r>
        <w:separator/>
      </w:r>
    </w:p>
  </w:endnote>
  <w:endnote w:type="continuationSeparator" w:id="0">
    <w:p w:rsidR="007070F4" w:rsidRDefault="007070F4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7070F4" w:rsidRPr="007070F4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7070F4" w:rsidRPr="007070F4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0F4" w:rsidRDefault="007070F4" w:rsidP="00F4420D">
      <w:pPr>
        <w:spacing w:after="0"/>
      </w:pPr>
      <w:r>
        <w:separator/>
      </w:r>
    </w:p>
  </w:footnote>
  <w:footnote w:type="continuationSeparator" w:id="0">
    <w:p w:rsidR="007070F4" w:rsidRDefault="007070F4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129" w:rsidRPr="00E83129" w:rsidRDefault="00E83129" w:rsidP="00E83129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E83129">
      <w:rPr>
        <w:color w:val="A6A6A6" w:themeColor="background1" w:themeShade="A6"/>
        <w:sz w:val="16"/>
        <w:szCs w:val="16"/>
      </w:rPr>
      <w:t>Súčasnosť a budúcnosť dotačného financovania EÚ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047E8F25" wp14:editId="06463525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846C0"/>
    <w:multiLevelType w:val="multilevel"/>
    <w:tmpl w:val="DBFCF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CF72FF"/>
    <w:multiLevelType w:val="multilevel"/>
    <w:tmpl w:val="029C7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7E4A45"/>
    <w:multiLevelType w:val="multilevel"/>
    <w:tmpl w:val="EF2C2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2B193F"/>
    <w:multiLevelType w:val="multilevel"/>
    <w:tmpl w:val="5268E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FA7119"/>
    <w:multiLevelType w:val="multilevel"/>
    <w:tmpl w:val="1F741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0C7533"/>
    <w:multiLevelType w:val="multilevel"/>
    <w:tmpl w:val="EFBC8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E70762"/>
    <w:multiLevelType w:val="multilevel"/>
    <w:tmpl w:val="C456C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EB2C57"/>
    <w:multiLevelType w:val="multilevel"/>
    <w:tmpl w:val="6600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ED4FF7"/>
    <w:multiLevelType w:val="multilevel"/>
    <w:tmpl w:val="F85EC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5284E6A"/>
    <w:multiLevelType w:val="multilevel"/>
    <w:tmpl w:val="E018A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2F3C83"/>
    <w:multiLevelType w:val="multilevel"/>
    <w:tmpl w:val="5FD62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266567D"/>
    <w:multiLevelType w:val="multilevel"/>
    <w:tmpl w:val="5E520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5856AB5"/>
    <w:multiLevelType w:val="multilevel"/>
    <w:tmpl w:val="CD142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5AE0269"/>
    <w:multiLevelType w:val="multilevel"/>
    <w:tmpl w:val="6016C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2"/>
  </w:num>
  <w:num w:numId="5">
    <w:abstractNumId w:val="4"/>
  </w:num>
  <w:num w:numId="6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9"/>
  </w:num>
  <w:num w:numId="8">
    <w:abstractNumId w:val="13"/>
  </w:num>
  <w:num w:numId="9">
    <w:abstractNumId w:val="7"/>
  </w:num>
  <w:num w:numId="10">
    <w:abstractNumId w:val="11"/>
  </w:num>
  <w:num w:numId="11">
    <w:abstractNumId w:val="3"/>
  </w:num>
  <w:num w:numId="12">
    <w:abstractNumId w:val="5"/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BpP1PyuKddcp9Dh/7hR+WYzNyOc=" w:salt="Srd8ZS2TERsCRL1hGOm9Rg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4B83"/>
    <w:rsid w:val="00016469"/>
    <w:rsid w:val="00054332"/>
    <w:rsid w:val="000564B7"/>
    <w:rsid w:val="00056D9E"/>
    <w:rsid w:val="000770D1"/>
    <w:rsid w:val="000907FA"/>
    <w:rsid w:val="000928EF"/>
    <w:rsid w:val="00093E63"/>
    <w:rsid w:val="000F586D"/>
    <w:rsid w:val="000F69FA"/>
    <w:rsid w:val="00116E14"/>
    <w:rsid w:val="00135392"/>
    <w:rsid w:val="00150353"/>
    <w:rsid w:val="00157167"/>
    <w:rsid w:val="00157E0C"/>
    <w:rsid w:val="00164B21"/>
    <w:rsid w:val="00171F91"/>
    <w:rsid w:val="0018154F"/>
    <w:rsid w:val="0018289E"/>
    <w:rsid w:val="001932A8"/>
    <w:rsid w:val="001B6D8A"/>
    <w:rsid w:val="001C4D51"/>
    <w:rsid w:val="001F4AB6"/>
    <w:rsid w:val="00241D19"/>
    <w:rsid w:val="0026276A"/>
    <w:rsid w:val="0028147B"/>
    <w:rsid w:val="002B680F"/>
    <w:rsid w:val="002D5BCD"/>
    <w:rsid w:val="00310D4D"/>
    <w:rsid w:val="00333A97"/>
    <w:rsid w:val="00336689"/>
    <w:rsid w:val="00336A09"/>
    <w:rsid w:val="00343F10"/>
    <w:rsid w:val="00353059"/>
    <w:rsid w:val="00355AA0"/>
    <w:rsid w:val="00357DD7"/>
    <w:rsid w:val="0036304F"/>
    <w:rsid w:val="00375E12"/>
    <w:rsid w:val="0037703B"/>
    <w:rsid w:val="003A4705"/>
    <w:rsid w:val="003B438C"/>
    <w:rsid w:val="003B5F1A"/>
    <w:rsid w:val="00435D97"/>
    <w:rsid w:val="00447FFD"/>
    <w:rsid w:val="00460A9F"/>
    <w:rsid w:val="0047619C"/>
    <w:rsid w:val="00495077"/>
    <w:rsid w:val="004B073A"/>
    <w:rsid w:val="004B3244"/>
    <w:rsid w:val="004B5637"/>
    <w:rsid w:val="004D5EC9"/>
    <w:rsid w:val="004E16CD"/>
    <w:rsid w:val="004E3C47"/>
    <w:rsid w:val="004F7FC3"/>
    <w:rsid w:val="00504833"/>
    <w:rsid w:val="0051693C"/>
    <w:rsid w:val="0052339A"/>
    <w:rsid w:val="00533B71"/>
    <w:rsid w:val="00536A81"/>
    <w:rsid w:val="00542CC6"/>
    <w:rsid w:val="0057090C"/>
    <w:rsid w:val="00582E58"/>
    <w:rsid w:val="005925B6"/>
    <w:rsid w:val="005A643E"/>
    <w:rsid w:val="00602EF9"/>
    <w:rsid w:val="006203D3"/>
    <w:rsid w:val="00645C24"/>
    <w:rsid w:val="00673F90"/>
    <w:rsid w:val="00681C33"/>
    <w:rsid w:val="006B0ABE"/>
    <w:rsid w:val="006B6987"/>
    <w:rsid w:val="006C4838"/>
    <w:rsid w:val="007070F4"/>
    <w:rsid w:val="0072638E"/>
    <w:rsid w:val="00736B3E"/>
    <w:rsid w:val="007617E7"/>
    <w:rsid w:val="00785E2D"/>
    <w:rsid w:val="00787A94"/>
    <w:rsid w:val="007C3213"/>
    <w:rsid w:val="007C6778"/>
    <w:rsid w:val="007D0071"/>
    <w:rsid w:val="00804257"/>
    <w:rsid w:val="00815B92"/>
    <w:rsid w:val="00854341"/>
    <w:rsid w:val="00894C03"/>
    <w:rsid w:val="008B031E"/>
    <w:rsid w:val="008B6A15"/>
    <w:rsid w:val="008D6AAF"/>
    <w:rsid w:val="008E1621"/>
    <w:rsid w:val="008E1A67"/>
    <w:rsid w:val="0090074C"/>
    <w:rsid w:val="00903B51"/>
    <w:rsid w:val="009270AE"/>
    <w:rsid w:val="009302C4"/>
    <w:rsid w:val="00933269"/>
    <w:rsid w:val="00936D45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B5F50"/>
    <w:rsid w:val="00AE59CA"/>
    <w:rsid w:val="00B23DD5"/>
    <w:rsid w:val="00B43241"/>
    <w:rsid w:val="00BD7911"/>
    <w:rsid w:val="00BE4284"/>
    <w:rsid w:val="00BF6324"/>
    <w:rsid w:val="00BF7C27"/>
    <w:rsid w:val="00C07AE1"/>
    <w:rsid w:val="00C37611"/>
    <w:rsid w:val="00C629C1"/>
    <w:rsid w:val="00C84B9F"/>
    <w:rsid w:val="00C869DB"/>
    <w:rsid w:val="00C8710E"/>
    <w:rsid w:val="00CA4707"/>
    <w:rsid w:val="00CC3E8D"/>
    <w:rsid w:val="00CD16C6"/>
    <w:rsid w:val="00CD484A"/>
    <w:rsid w:val="00CE3FAE"/>
    <w:rsid w:val="00D0790B"/>
    <w:rsid w:val="00D10615"/>
    <w:rsid w:val="00D14B4C"/>
    <w:rsid w:val="00D26596"/>
    <w:rsid w:val="00D51B96"/>
    <w:rsid w:val="00D52F8F"/>
    <w:rsid w:val="00D80350"/>
    <w:rsid w:val="00D91272"/>
    <w:rsid w:val="00DA6D11"/>
    <w:rsid w:val="00DB0B54"/>
    <w:rsid w:val="00DB13DE"/>
    <w:rsid w:val="00DD24A3"/>
    <w:rsid w:val="00E169A8"/>
    <w:rsid w:val="00E268DD"/>
    <w:rsid w:val="00E26E26"/>
    <w:rsid w:val="00E8111B"/>
    <w:rsid w:val="00E83129"/>
    <w:rsid w:val="00EA59F7"/>
    <w:rsid w:val="00EC1D5F"/>
    <w:rsid w:val="00EC3558"/>
    <w:rsid w:val="00ED751C"/>
    <w:rsid w:val="00F04A00"/>
    <w:rsid w:val="00F10D78"/>
    <w:rsid w:val="00F11318"/>
    <w:rsid w:val="00F4420D"/>
    <w:rsid w:val="00F60602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paragraph" w:styleId="Nadpis1">
    <w:name w:val="heading 1"/>
    <w:basedOn w:val="Normlny"/>
    <w:link w:val="Nadpis1Char"/>
    <w:uiPriority w:val="9"/>
    <w:qFormat/>
    <w:rsid w:val="007C677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Cs/>
      <w:kern w:val="36"/>
      <w:sz w:val="48"/>
      <w:szCs w:val="48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7C677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character" w:customStyle="1" w:styleId="Nadpis1Char">
    <w:name w:val="Nadpis 1 Char"/>
    <w:basedOn w:val="Predvolenpsmoodseku"/>
    <w:link w:val="Nadpis1"/>
    <w:uiPriority w:val="9"/>
    <w:rsid w:val="007C6778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7C6778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styleId="Siln">
    <w:name w:val="Strong"/>
    <w:basedOn w:val="Predvolenpsmoodseku"/>
    <w:uiPriority w:val="22"/>
    <w:qFormat/>
    <w:rsid w:val="007C677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paragraph" w:styleId="Nadpis1">
    <w:name w:val="heading 1"/>
    <w:basedOn w:val="Normlny"/>
    <w:link w:val="Nadpis1Char"/>
    <w:uiPriority w:val="9"/>
    <w:qFormat/>
    <w:rsid w:val="007C677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Cs/>
      <w:kern w:val="36"/>
      <w:sz w:val="48"/>
      <w:szCs w:val="48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7C677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character" w:customStyle="1" w:styleId="Nadpis1Char">
    <w:name w:val="Nadpis 1 Char"/>
    <w:basedOn w:val="Predvolenpsmoodseku"/>
    <w:link w:val="Nadpis1"/>
    <w:uiPriority w:val="9"/>
    <w:rsid w:val="007C6778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7C6778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styleId="Siln">
    <w:name w:val="Strong"/>
    <w:basedOn w:val="Predvolenpsmoodseku"/>
    <w:uiPriority w:val="22"/>
    <w:qFormat/>
    <w:rsid w:val="007C67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48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0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93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068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449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450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95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7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54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344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833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923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235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7754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45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58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27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002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917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721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212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0880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963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0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09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79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981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554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399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646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05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7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2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06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115334">
                  <w:marLeft w:val="30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96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5" w:color="D7D7D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85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7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5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774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880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04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561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652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mediacoeli.sk/sekcia-7-3-&#352;t&#225;tne_dot&#225;cie.html" TargetMode="External"/><Relationship Id="rId18" Type="http://schemas.openxmlformats.org/officeDocument/2006/relationships/hyperlink" Target="http://www.mediacoeli.sk/detail-90-mediacoeli_Finan&#269;n&#253;_mechanizmus_JESSICA_.html" TargetMode="External"/><Relationship Id="rId3" Type="http://schemas.openxmlformats.org/officeDocument/2006/relationships/numbering" Target="numbering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://www.mediacoeli.sk/sekcia-7-4-Eurofondy_SR.html" TargetMode="External"/><Relationship Id="rId17" Type="http://schemas.openxmlformats.org/officeDocument/2006/relationships/hyperlink" Target="http://www.mediacoeli.sk/detail-88-mediacoeli_JEREMIE_-_(Spolo&#269;n&#233;_eur&#243;pske_zdroje_pre_ve&#318;mi_mal&#233;_a&#382;_stredn&#233;_podniky).htm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ww.mediacoeli.sk/detail-28-mediacoeli_JASPERS_&#8211;_Spolo&#269;n&#225;_pomoc_pri_podpore_projektov_eur&#243;pskych_regi&#243;nov.html" TargetMode="External"/><Relationship Id="rId20" Type="http://schemas.openxmlformats.org/officeDocument/2006/relationships/hyperlink" Target="http://www.mediacoeli.sk/detail-29-mediacoeli_Licen&#269;n&#225;_dohoda_na_verejne_spr&#237;stupnen&#233;_diela_MEDIA_COELI_&#174;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ediacoeli.sk/sekcia-7-2-N&#225;stroje_finan&#269;n&#233;ho_in&#382;inierstva.html" TargetMode="External"/><Relationship Id="rId24" Type="http://schemas.openxmlformats.org/officeDocument/2006/relationships/glossaryDocument" Target="glossary/document.xml"/><Relationship Id="rId5" Type="http://schemas.microsoft.com/office/2007/relationships/stylesWithEffects" Target="stylesWithEffects.xml"/><Relationship Id="rId15" Type="http://schemas.openxmlformats.org/officeDocument/2006/relationships/hyperlink" Target="http://www.mediacoeli.sk/detail-51-mediacoeli_Priebe&#382;ne:_ELENA_&#8211;_Eur&#243;pska_miestna_energetick&#225;_pomoc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mediacoeli.sk/sekcia-7-6-Dota&#269;n&#233;_sch&#233;my_E&#218;.html" TargetMode="External"/><Relationship Id="rId19" Type="http://schemas.openxmlformats.org/officeDocument/2006/relationships/hyperlink" Target="http://www.mediacoeli.sk/detail-108-mediacoeli_Marguerite_Fund.htm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www.mediacoeli.sk/sekcia-7-5-Grantov&#233;_sch&#233;my.html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0E559C"/>
    <w:rsid w:val="00202AF2"/>
    <w:rsid w:val="00670F02"/>
    <w:rsid w:val="00677726"/>
    <w:rsid w:val="00717489"/>
    <w:rsid w:val="0086398C"/>
    <w:rsid w:val="009A2516"/>
    <w:rsid w:val="00A3700D"/>
    <w:rsid w:val="00B72CBF"/>
    <w:rsid w:val="00D91FD6"/>
    <w:rsid w:val="00DE406D"/>
    <w:rsid w:val="00E43644"/>
    <w:rsid w:val="00E52C02"/>
    <w:rsid w:val="00EC78B3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4DE8175-3884-4D2D-A7A2-61B3B4607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2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Súčasnosť a budúcnosť dotačného financovania EÚ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7350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Súčasnosť a budúcnosť dotačného financovania EÚ</dc:title>
  <dc:creator>MEDIA COELI ®</dc:creator>
  <cp:lastModifiedBy>Milena Mrvová</cp:lastModifiedBy>
  <cp:revision>34</cp:revision>
  <cp:lastPrinted>2013-02-18T00:08:00Z</cp:lastPrinted>
  <dcterms:created xsi:type="dcterms:W3CDTF">2013-02-15T07:32:00Z</dcterms:created>
  <dcterms:modified xsi:type="dcterms:W3CDTF">2013-02-18T00:09:00Z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